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7365D"/>
        </w:rPr>
        <w:t>TIB ACADEMY INTERACTIVE LEARNING</w:t>
      </w:r>
    </w:p>
    <w:p>
      <w:pPr>
        <w:jc w:val="center"/>
      </w:pPr>
      <w:r>
        <w:rPr>
          <w:b/>
          <w:color w:val="800000"/>
        </w:rPr>
        <w:t>LEARN TO LEAD - SAP CONTROLS TEAM ON A LIVE PROJECT | Product Brochure</w:t>
      </w:r>
    </w:p>
    <w:p>
      <w:pPr>
        <w:jc w:val="center"/>
      </w:pPr>
      <w:r>
        <w:rPr>
          <w:i/>
        </w:rPr>
        <w:t>TIB Systems LLC | TIB Academy Interactive Learning</w:t>
      </w:r>
    </w:p>
    <w:p>
      <w:pPr>
        <w:jc w:val="center"/>
      </w:pPr>
      <w:r>
        <w:rPr>
          <w:b/>
          <w:color w:val="0F6B6D"/>
          <w:sz w:val="32"/>
        </w:rPr>
        <w:t>Learn the theory. Build the work. Lead the team. Own the role.</w:t>
      </w:r>
    </w:p>
    <w:p>
      <w:pPr>
        <w:pStyle w:val="Heading1"/>
      </w:pPr>
      <w:r>
        <w:t>A Different Kind of Controls Training</w:t>
      </w:r>
    </w:p>
    <w:p>
      <w:r>
        <w:rPr/>
        <w:t>TIB ILA is a job-simulation learning environment for professionals preparing to lead SAP Controls teams and perform Controls Lead / Controls Manager responsibilities. It combines controls theory, a realistic fictitious company, actual project workbooks, client-like source documents, leadership scenarios, SAP technical challenge exercises, audit pressure and an employment-readiness capstone.</w:t>
      </w:r>
    </w:p>
    <w:tbl>
      <w:tblPr>
        <w:tblW w:type="auto" w:w="0"/>
        <w:jc w:val="center"/>
        <w:tblLayout w:type="fixed"/>
        <w:tblLook w:firstColumn="1" w:firstRow="1" w:lastColumn="0" w:lastRow="0" w:noHBand="0" w:noVBand="1" w:val="04A0"/>
      </w:tblPr>
      <w:tblGrid>
        <w:gridCol w:w="10166"/>
      </w:tblGrid>
      <w:tr>
        <w:trPr>
          <w:cantSplit/>
        </w:trPr>
        <w:tc>
          <w:tcPr>
            <w:tcW w:type="dxa" w:w="9792"/>
            <w:shd w:fill="EAF2F3"/>
            <w:vAlign w:val="center"/>
          </w:tcPr>
          <w:p>
            <w:pPr>
              <w:jc w:val="center"/>
            </w:pPr>
            <w:r>
              <w:rPr>
                <w:b/>
                <w:color w:val="0F6B6D"/>
              </w:rPr>
              <w:t>FOUNDATION → BUILD IT → LEAD IT → OWN IT</w:t>
            </w:r>
          </w:p>
        </w:tc>
      </w:tr>
    </w:tbl>
    <w:p>
      <w:pPr>
        <w:pStyle w:val="Heading1"/>
      </w:pPr>
      <w:r>
        <w:t>What Is Included</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592"/>
            <w:shd w:fill="17365D"/>
          </w:tcPr>
          <w:p>
            <w:r>
              <w:rPr>
                <w:b/>
                <w:color w:val="FFFFFF"/>
              </w:rPr>
              <w:t>Component</w:t>
            </w:r>
          </w:p>
        </w:tc>
        <w:tc>
          <w:tcPr>
            <w:tcW w:type="dxa" w:w="7776"/>
            <w:shd w:fill="17365D"/>
          </w:tcPr>
          <w:p>
            <w:r>
              <w:rPr>
                <w:b/>
                <w:color w:val="FFFFFF"/>
              </w:rPr>
              <w:t>Coverage</w:t>
            </w:r>
          </w:p>
        </w:tc>
      </w:tr>
      <w:tr>
        <w:trPr>
          <w:cantSplit/>
        </w:trPr>
        <w:tc>
          <w:tcPr>
            <w:tcW w:type="dxa" w:w="2592"/>
            <w:vAlign w:val="top"/>
          </w:tcPr>
          <w:p>
            <w:r>
              <w:t>Controls Theory Foundation</w:t>
            </w:r>
          </w:p>
        </w:tc>
        <w:tc>
          <w:tcPr>
            <w:tcW w:type="dxa" w:w="7776"/>
            <w:vAlign w:val="top"/>
          </w:tcPr>
          <w:p>
            <w:r>
              <w:t>B0-B10 covering goals, risks, control types/nature, engagement types, S/4HANA lifecycle, functional-design reading, testing decisions, AI and practitioner capstone.</w:t>
            </w:r>
          </w:p>
        </w:tc>
      </w:tr>
      <w:tr>
        <w:trPr>
          <w:cantSplit/>
        </w:trPr>
        <w:tc>
          <w:tcPr>
            <w:tcW w:type="dxa" w:w="2592"/>
            <w:vAlign w:val="top"/>
          </w:tcPr>
          <w:p>
            <w:r>
              <w:t>9 BUILD IT activities</w:t>
            </w:r>
          </w:p>
        </w:tc>
        <w:tc>
          <w:tcPr>
            <w:tcW w:type="dxa" w:w="7776"/>
            <w:vAlign w:val="top"/>
          </w:tcPr>
          <w:p>
            <w:r>
              <w:t>Environment, Information Flows, Business Processes, Risks, Controls, Owners, Evidence, Testing, Results.</w:t>
            </w:r>
          </w:p>
        </w:tc>
      </w:tr>
      <w:tr>
        <w:trPr>
          <w:cantSplit/>
        </w:trPr>
        <w:tc>
          <w:tcPr>
            <w:tcW w:type="dxa" w:w="2592"/>
            <w:vAlign w:val="top"/>
          </w:tcPr>
          <w:p>
            <w:r>
              <w:t>8 LEAD IT activities</w:t>
            </w:r>
          </w:p>
        </w:tc>
        <w:tc>
          <w:tcPr>
            <w:tcW w:type="dxa" w:w="7776"/>
            <w:vAlign w:val="top"/>
          </w:tcPr>
          <w:p>
            <w:r>
              <w:t>Take Command, Manage Team, Review Work, Technical Challenge, Manage Audit, Remediation, Executive Governance, 30-Day Capstone.</w:t>
            </w:r>
          </w:p>
        </w:tc>
      </w:tr>
      <w:tr>
        <w:trPr>
          <w:cantSplit/>
        </w:trPr>
        <w:tc>
          <w:tcPr>
            <w:tcW w:type="dxa" w:w="2592"/>
            <w:vAlign w:val="top"/>
          </w:tcPr>
          <w:p>
            <w:r>
              <w:t>Corvane Project Reference</w:t>
            </w:r>
          </w:p>
        </w:tc>
        <w:tc>
          <w:tcPr>
            <w:tcW w:type="dxa" w:w="7776"/>
            <w:vAlign w:val="top"/>
          </w:tcPr>
          <w:p>
            <w:r>
              <w:t>Integrated fictitious company: stakeholders, SAP systems, interfaces, processes, risks, controls, evidence, meetings and relationship map.</w:t>
            </w:r>
          </w:p>
        </w:tc>
      </w:tr>
      <w:tr>
        <w:trPr>
          <w:cantSplit/>
        </w:trPr>
        <w:tc>
          <w:tcPr>
            <w:tcW w:type="dxa" w:w="2592"/>
            <w:vAlign w:val="top"/>
          </w:tcPr>
          <w:p>
            <w:r>
              <w:t>Sample Document Library</w:t>
            </w:r>
          </w:p>
        </w:tc>
        <w:tc>
          <w:tcPr>
            <w:tcW w:type="dxa" w:w="7776"/>
            <w:vAlign w:val="top"/>
          </w:tcPr>
          <w:p>
            <w:r>
              <w:t>Client-like landscape, hosting, change, interfaces, process narratives, access/leaver, emergency access, monitoring, backup, close, provider assurance, TB/COA, RCM, testing, findings, SoD, reports, scoping, calendar, evidence and workpapers.</w:t>
            </w:r>
          </w:p>
        </w:tc>
      </w:tr>
      <w:tr>
        <w:trPr>
          <w:cantSplit/>
        </w:trPr>
        <w:tc>
          <w:tcPr>
            <w:tcW w:type="dxa" w:w="2592"/>
            <w:vAlign w:val="top"/>
          </w:tcPr>
          <w:p>
            <w:r>
              <w:t>Readiness Enhancement Labs</w:t>
            </w:r>
          </w:p>
        </w:tc>
        <w:tc>
          <w:tcPr>
            <w:tcW w:type="dxa" w:w="7776"/>
            <w:vAlign w:val="top"/>
          </w:tcPr>
          <w:p>
            <w:r>
              <w:t>Technical challenge, control classification, DE vs OE, IPE, automation/CCM, modern SAP landscape, frameworks, people skills, materiality, RCA, KPI/KRI, audit challenge, takeover and OWN IT.</w:t>
            </w:r>
          </w:p>
        </w:tc>
      </w:tr>
      <w:tr>
        <w:trPr>
          <w:cantSplit/>
        </w:trPr>
        <w:tc>
          <w:tcPr>
            <w:tcW w:type="dxa" w:w="2592"/>
            <w:vAlign w:val="top"/>
          </w:tcPr>
          <w:p>
            <w:r>
              <w:t>Employment Readiness Gate</w:t>
            </w:r>
          </w:p>
        </w:tc>
        <w:tc>
          <w:tcPr>
            <w:tcW w:type="dxa" w:w="7776"/>
            <w:vAlign w:val="top"/>
          </w:tcPr>
          <w:p>
            <w:r>
              <w:t>Independent inherited-environment assessment plus 20-30 minute verbal defense.</w:t>
            </w:r>
          </w:p>
        </w:tc>
      </w:tr>
    </w:tbl>
    <w:p>
      <w:pPr>
        <w:pStyle w:val="Heading1"/>
      </w:pPr>
      <w:r>
        <w:t>The Delivery Method</w:t>
      </w:r>
    </w:p>
    <w:tbl>
      <w:tblPr>
        <w:tblW w:type="auto" w:w="0"/>
        <w:jc w:val="center"/>
        <w:tblLayout w:type="fixed"/>
        <w:tblLook w:firstColumn="1" w:firstRow="1" w:lastColumn="0" w:lastRow="0" w:noHBand="0" w:noVBand="1" w:val="04A0"/>
      </w:tblPr>
      <w:tblGrid>
        <w:gridCol w:w="10166"/>
      </w:tblGrid>
      <w:tr>
        <w:trPr>
          <w:cantSplit/>
        </w:trPr>
        <w:tc>
          <w:tcPr>
            <w:tcW w:type="dxa" w:w="9792"/>
            <w:shd w:fill="EAF2F3"/>
            <w:vAlign w:val="center"/>
          </w:tcPr>
          <w:p>
            <w:pPr>
              <w:jc w:val="center"/>
            </w:pPr>
            <w:r>
              <w:rPr>
                <w:b/>
                <w:color w:val="0F6B6D"/>
              </w:rPr>
              <w:t>SEE → LISTEN → OBSERVE → BUILD → COMPARE → CONNECT</w:t>
            </w:r>
          </w:p>
        </w:tc>
      </w:tr>
    </w:tbl>
    <w:p>
      <w:r>
        <w:t>The learner first sees the expected work product, hears the practitioner reasoning, observes realistic evidence, builds the artifact, compares judgment against a model/instructor standard, and connects the output to the rest of the project.</w:t>
      </w:r>
    </w:p>
    <w:p>
      <w:pPr>
        <w:pStyle w:val="Heading1"/>
      </w:pPr>
      <w:r>
        <w:t>What the Learner Should Be Able to Do</w:t>
      </w:r>
    </w:p>
    <w:p>
      <w:pPr>
        <w:pStyle w:val="ListBullet"/>
      </w:pPr>
      <w:r>
        <w:t>Understand an SAP controls environment and define scope.</w:t>
      </w:r>
    </w:p>
    <w:p>
      <w:pPr>
        <w:pStyle w:val="ListBullet"/>
      </w:pPr>
      <w:r>
        <w:t>Map systems, interfaces, business processes, risks, controls, owners and evidence.</w:t>
      </w:r>
    </w:p>
    <w:p>
      <w:pPr>
        <w:pStyle w:val="ListBullet"/>
      </w:pPr>
      <w:r>
        <w:t>Build and review core controls-project workbooks.</w:t>
      </w:r>
    </w:p>
    <w:p>
      <w:pPr>
        <w:pStyle w:val="ListBullet"/>
      </w:pPr>
      <w:r>
        <w:t>Distinguish design effectiveness from operating effectiveness.</w:t>
      </w:r>
    </w:p>
    <w:p>
      <w:pPr>
        <w:pStyle w:val="ListBullet"/>
      </w:pPr>
      <w:r>
        <w:t>Challenge IPE/report reliability and evidence sufficiency.</w:t>
      </w:r>
    </w:p>
    <w:p>
      <w:pPr>
        <w:pStyle w:val="ListBullet"/>
      </w:pPr>
      <w:r>
        <w:t>Prioritize material control issues and remediation.</w:t>
      </w:r>
    </w:p>
    <w:p>
      <w:pPr>
        <w:pStyle w:val="ListBullet"/>
      </w:pPr>
      <w:r>
        <w:t>Delegate work and review analyst/specialist output.</w:t>
      </w:r>
    </w:p>
    <w:p>
      <w:pPr>
        <w:pStyle w:val="ListBullet"/>
      </w:pPr>
      <w:r>
        <w:t>Challenge SAP Security/GRC assertions at manager level.</w:t>
      </w:r>
    </w:p>
    <w:p>
      <w:pPr>
        <w:pStyle w:val="ListBullet"/>
      </w:pPr>
      <w:r>
        <w:t>Manage internal and external audit interactions.</w:t>
      </w:r>
    </w:p>
    <w:p>
      <w:pPr>
        <w:pStyle w:val="ListBullet"/>
      </w:pPr>
      <w:r>
        <w:t>Communicate concise controls positions to CFO/CIO/steering leadership.</w:t>
      </w:r>
    </w:p>
    <w:p>
      <w:pPr>
        <w:pStyle w:val="ListBullet"/>
      </w:pPr>
      <w:r>
        <w:t>Take command of an inherited controls environment and defend decisions.</w:t>
      </w:r>
    </w:p>
    <w:p>
      <w:pPr>
        <w:pStyle w:val="Heading1"/>
      </w:pPr>
      <w:r>
        <w:t>Alignment to Current Job Statements of Work</w:t>
      </w:r>
    </w:p>
    <w:p>
      <w:r>
        <w:t>A review of current 2026 SAP controls/security governance postings shows recurring demand for SAP S/4HANA/Fiori awareness, SAP GRC/SoD governance, audit/SOX readiness, risk assessment, control effectiveness, remediation, continuous monitoring, dashboards, stakeholder leadership and team management. TIB ILA directly develops the management and controls-delivery capabilities in that pattern.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024"/>
            <w:shd w:fill="17365D"/>
          </w:tcPr>
          <w:p>
            <w:r>
              <w:rPr>
                <w:b/>
                <w:color w:val="FFFFFF"/>
              </w:rPr>
              <w:t>Current SOW Theme</w:t>
            </w:r>
          </w:p>
        </w:tc>
        <w:tc>
          <w:tcPr>
            <w:tcW w:type="dxa" w:w="5184"/>
            <w:shd w:fill="17365D"/>
          </w:tcPr>
          <w:p>
            <w:r>
              <w:rPr>
                <w:b/>
                <w:color w:val="FFFFFF"/>
              </w:rPr>
              <w:t>TIB ILA Coverage</w:t>
            </w:r>
          </w:p>
        </w:tc>
        <w:tc>
          <w:tcPr>
            <w:tcW w:type="dxa" w:w="2160"/>
            <w:shd w:fill="17365D"/>
          </w:tcPr>
          <w:p>
            <w:r>
              <w:rPr>
                <w:b/>
                <w:color w:val="FFFFFF"/>
              </w:rPr>
              <w:t>Fit</w:t>
            </w:r>
          </w:p>
        </w:tc>
      </w:tr>
      <w:tr>
        <w:trPr>
          <w:cantSplit/>
        </w:trPr>
        <w:tc>
          <w:tcPr>
            <w:tcW w:type="dxa" w:w="3024"/>
            <w:vAlign w:val="top"/>
          </w:tcPr>
          <w:p>
            <w:r>
              <w:t>SOX / ITGC / audit readiness</w:t>
            </w:r>
          </w:p>
        </w:tc>
        <w:tc>
          <w:tcPr>
            <w:tcW w:type="dxa" w:w="5184"/>
            <w:vAlign w:val="top"/>
          </w:tcPr>
          <w:p>
            <w:r>
              <w:t>Controls theory, evidence, testing, audit challenge, remediation, OWN IT</w:t>
            </w:r>
          </w:p>
        </w:tc>
        <w:tc>
          <w:tcPr>
            <w:tcW w:type="dxa" w:w="2160"/>
            <w:vAlign w:val="top"/>
          </w:tcPr>
          <w:p>
            <w:r>
              <w:t>Strong</w:t>
            </w:r>
          </w:p>
        </w:tc>
      </w:tr>
      <w:tr>
        <w:trPr>
          <w:cantSplit/>
        </w:trPr>
        <w:tc>
          <w:tcPr>
            <w:tcW w:type="dxa" w:w="3024"/>
            <w:vAlign w:val="top"/>
          </w:tcPr>
          <w:p>
            <w:r>
              <w:t>Risk assessment / control effectiveness</w:t>
            </w:r>
          </w:p>
        </w:tc>
        <w:tc>
          <w:tcPr>
            <w:tcW w:type="dxa" w:w="5184"/>
            <w:vAlign w:val="top"/>
          </w:tcPr>
          <w:p>
            <w:r>
              <w:t>Risk Register, RCM, DE/OE, testing, prioritization</w:t>
            </w:r>
          </w:p>
        </w:tc>
        <w:tc>
          <w:tcPr>
            <w:tcW w:type="dxa" w:w="2160"/>
            <w:vAlign w:val="top"/>
          </w:tcPr>
          <w:p>
            <w:r>
              <w:t>Strong</w:t>
            </w:r>
          </w:p>
        </w:tc>
      </w:tr>
      <w:tr>
        <w:trPr>
          <w:cantSplit/>
        </w:trPr>
        <w:tc>
          <w:tcPr>
            <w:tcW w:type="dxa" w:w="3024"/>
            <w:vAlign w:val="top"/>
          </w:tcPr>
          <w:p>
            <w:r>
              <w:t>SoD / sensitive / privileged / Firefighter governance</w:t>
            </w:r>
          </w:p>
        </w:tc>
        <w:tc>
          <w:tcPr>
            <w:tcW w:type="dxa" w:w="5184"/>
            <w:vAlign w:val="top"/>
          </w:tcPr>
          <w:p>
            <w:r>
              <w:t>Foundation + technical challenge + modern SAP + capstone scenarios</w:t>
            </w:r>
          </w:p>
        </w:tc>
        <w:tc>
          <w:tcPr>
            <w:tcW w:type="dxa" w:w="2160"/>
            <w:vAlign w:val="top"/>
          </w:tcPr>
          <w:p>
            <w:r>
              <w:t>Strong manager-level</w:t>
            </w:r>
          </w:p>
        </w:tc>
      </w:tr>
      <w:tr>
        <w:trPr>
          <w:cantSplit/>
        </w:trPr>
        <w:tc>
          <w:tcPr>
            <w:tcW w:type="dxa" w:w="3024"/>
            <w:vAlign w:val="top"/>
          </w:tcPr>
          <w:p>
            <w:r>
              <w:t>S/4HANA / Fiori / BTP / RISE awareness</w:t>
            </w:r>
          </w:p>
        </w:tc>
        <w:tc>
          <w:tcPr>
            <w:tcW w:type="dxa" w:w="5184"/>
            <w:vAlign w:val="top"/>
          </w:tcPr>
          <w:p>
            <w:r>
              <w:t>Modern SAP landscape and technical challenge</w:t>
            </w:r>
          </w:p>
        </w:tc>
        <w:tc>
          <w:tcPr>
            <w:tcW w:type="dxa" w:w="2160"/>
            <w:vAlign w:val="top"/>
          </w:tcPr>
          <w:p>
            <w:r>
              <w:t>Strong manager-level</w:t>
            </w:r>
          </w:p>
        </w:tc>
      </w:tr>
      <w:tr>
        <w:trPr>
          <w:cantSplit/>
        </w:trPr>
        <w:tc>
          <w:tcPr>
            <w:tcW w:type="dxa" w:w="3024"/>
            <w:vAlign w:val="top"/>
          </w:tcPr>
          <w:p>
            <w:r>
              <w:t>Continuous monitoring / automation</w:t>
            </w:r>
          </w:p>
        </w:tc>
        <w:tc>
          <w:tcPr>
            <w:tcW w:type="dxa" w:w="5184"/>
            <w:vAlign w:val="top"/>
          </w:tcPr>
          <w:p>
            <w:r>
              <w:t>Automation &amp; CCM decision lab, KPI/KRI dashboard</w:t>
            </w:r>
          </w:p>
        </w:tc>
        <w:tc>
          <w:tcPr>
            <w:tcW w:type="dxa" w:w="2160"/>
            <w:vAlign w:val="top"/>
          </w:tcPr>
          <w:p>
            <w:r>
              <w:t>Strong conceptual/managerial</w:t>
            </w:r>
          </w:p>
        </w:tc>
      </w:tr>
      <w:tr>
        <w:trPr>
          <w:cantSplit/>
        </w:trPr>
        <w:tc>
          <w:tcPr>
            <w:tcW w:type="dxa" w:w="3024"/>
            <w:vAlign w:val="top"/>
          </w:tcPr>
          <w:p>
            <w:r>
              <w:t>Stakeholder / executive leadership</w:t>
            </w:r>
          </w:p>
        </w:tc>
        <w:tc>
          <w:tcPr>
            <w:tcW w:type="dxa" w:w="5184"/>
            <w:vAlign w:val="top"/>
          </w:tcPr>
          <w:p>
            <w:r>
              <w:t>People-skills simulations, executive dashboard, verbal defense</w:t>
            </w:r>
          </w:p>
        </w:tc>
        <w:tc>
          <w:tcPr>
            <w:tcW w:type="dxa" w:w="2160"/>
            <w:vAlign w:val="top"/>
          </w:tcPr>
          <w:p>
            <w:r>
              <w:t>Strong</w:t>
            </w:r>
          </w:p>
        </w:tc>
      </w:tr>
      <w:tr>
        <w:trPr>
          <w:cantSplit/>
        </w:trPr>
        <w:tc>
          <w:tcPr>
            <w:tcW w:type="dxa" w:w="3024"/>
            <w:vAlign w:val="top"/>
          </w:tcPr>
          <w:p>
            <w:r>
              <w:t>Team leadership / work review</w:t>
            </w:r>
          </w:p>
        </w:tc>
        <w:tc>
          <w:tcPr>
            <w:tcW w:type="dxa" w:w="5184"/>
            <w:vAlign w:val="top"/>
          </w:tcPr>
          <w:p>
            <w:r>
              <w:t>Manage Team, Review Work, QA scoring, takeover simulation</w:t>
            </w:r>
          </w:p>
        </w:tc>
        <w:tc>
          <w:tcPr>
            <w:tcW w:type="dxa" w:w="2160"/>
            <w:vAlign w:val="top"/>
          </w:tcPr>
          <w:p>
            <w:r>
              <w:t>Strong</w:t>
            </w:r>
          </w:p>
        </w:tc>
      </w:tr>
      <w:tr>
        <w:trPr>
          <w:cantSplit/>
        </w:trPr>
        <w:tc>
          <w:tcPr>
            <w:tcW w:type="dxa" w:w="3024"/>
            <w:vAlign w:val="top"/>
          </w:tcPr>
          <w:p>
            <w:r>
              <w:t>Hands-on GRC configuration / PFCG / SU24 / MSMP</w:t>
            </w:r>
          </w:p>
        </w:tc>
        <w:tc>
          <w:tcPr>
            <w:tcW w:type="dxa" w:w="5184"/>
            <w:vAlign w:val="top"/>
          </w:tcPr>
          <w:p>
            <w:r>
              <w:t>Not the course objective; specialist configuration training is separate</w:t>
            </w:r>
          </w:p>
        </w:tc>
        <w:tc>
          <w:tcPr>
            <w:tcW w:type="dxa" w:w="2160"/>
            <w:vAlign w:val="top"/>
          </w:tcPr>
          <w:p>
            <w:r>
              <w:t>Intentional boundary</w:t>
            </w:r>
          </w:p>
        </w:tc>
      </w:tr>
    </w:tbl>
    <w:p>
      <w:r>
        <w:t>Important positioning: some current SAP Security/GRC Lead roles require deep hands-on configuration of ARA/ARM/EAM/BRM, PFCG, SU24, Fiori catalogs/authorizations, connectors and workflows. TIB ILA prepares a Controls Lead/Manager to supervise and challenge that work; it does not represent itself as configuration certification.</w:t>
      </w:r>
    </w:p>
    <w:p>
      <w:pPr>
        <w:pStyle w:val="Heading1"/>
      </w:pPr>
      <w:r>
        <w:t>Who This Is For</w:t>
      </w:r>
    </w:p>
    <w:p>
      <w:r>
        <w:t>Project Managers, SAP functional professionals, audit/compliance professionals, controls analysts, SAP Security/GRC professionals moving into leadership, and experienced enterprise professionals who need a structured transition into Controls Lead/Manager responsibilities.</w:t>
      </w:r>
    </w:p>
    <w:p>
      <w:pPr>
        <w:pStyle w:val="Heading1"/>
      </w:pPr>
      <w:r>
        <w:t>The Product Promise</w:t>
      </w:r>
    </w:p>
    <w:p>
      <w:r>
        <w:t>The course is designed so the learner does not leave with only notes and terminology. They leave having built, reviewed, challenged and defended the same classes of artifacts and decisions they will encounter on the job.</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