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7365D"/>
        </w:rPr>
        <w:t>TIB ILA COMPLETE DEMONSTRATION &amp; USER GUIDE</w:t>
      </w:r>
    </w:p>
    <w:p>
      <w:pPr>
        <w:jc w:val="center"/>
      </w:pPr>
      <w:r>
        <w:rPr>
          <w:b/>
          <w:color w:val="800000"/>
        </w:rPr>
        <w:t>Trainer Demo Script + Trainee Pre-Class Navigation Practice</w:t>
      </w:r>
    </w:p>
    <w:p>
      <w:pPr>
        <w:jc w:val="center"/>
      </w:pPr>
      <w:r>
        <w:rPr>
          <w:i/>
        </w:rPr>
        <w:t>TIB Systems LLC | TIB Academy Interactive Learning</w:t>
      </w:r>
    </w:p>
    <w:p>
      <w:pPr>
        <w:pStyle w:val="Heading1"/>
      </w:pPr>
      <w:r>
        <w:t>Purpose</w:t>
      </w:r>
    </w:p>
    <w:p>
      <w:r>
        <w:t>This is both the trainer's demonstration script and the trainee's pre-class application orientation. A trainer can demonstrate the entire solution from this document; a trainee can repeat the same script independently before class.</w:t>
      </w:r>
    </w:p>
    <w:p>
      <w:pPr>
        <w:pStyle w:val="Heading1"/>
      </w:pPr>
      <w:r>
        <w:t>Recommended Demo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Demo Stop</w:t>
            </w:r>
          </w:p>
        </w:tc>
        <w:tc>
          <w:tcPr>
            <w:tcW w:type="dxa" w:w="7344"/>
            <w:shd w:fill="17365D"/>
          </w:tcPr>
          <w:p>
            <w:r>
              <w:rPr>
                <w:b/>
                <w:color w:val="FFFFFF"/>
              </w:rPr>
              <w:t>What the Trainer Shows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1. Sign In</w:t>
            </w:r>
          </w:p>
        </w:tc>
        <w:tc>
          <w:tcPr>
            <w:tcW w:type="dxa" w:w="7344"/>
            <w:vAlign w:val="top"/>
          </w:tcPr>
          <w:p>
            <w:r>
              <w:t>Show the enrollment gate, successful sign-in and the signed-in user indicator.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2. Explain the Course Architecture</w:t>
            </w:r>
          </w:p>
        </w:tc>
        <w:tc>
          <w:tcPr>
            <w:tcW w:type="dxa" w:w="7344"/>
            <w:vAlign w:val="top"/>
          </w:tcPr>
          <w:p>
            <w:r>
              <w:t>Point to FOUNDATION → BUILD IT → LEAD IT → OWN IT and explain that the 17 practical activities remain 9 BUILD IT + 8 LEAD IT, with Foundation as a shared theory layer.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3. Open FOUNDATION · Controls Theory</w:t>
            </w:r>
          </w:p>
        </w:tc>
        <w:tc>
          <w:tcPr>
            <w:tcW w:type="dxa" w:w="7344"/>
            <w:vAlign w:val="top"/>
          </w:tcPr>
          <w:p>
            <w:r>
              <w:t>Open the Foundation hub. Demonstrate B0 through B10 and the Practitioner Toolkit. Explain that Foundation teaches definitions and principles and can also be used as a just-in-time reference.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4. Return to the Project Map</w:t>
            </w:r>
          </w:p>
        </w:tc>
        <w:tc>
          <w:tcPr>
            <w:tcW w:type="dxa" w:w="7344"/>
            <w:vAlign w:val="top"/>
          </w:tcPr>
          <w:p>
            <w:r>
              <w:t>Show Environment through Results, then the eight LEAD IT activities.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5. Explain SEE/LISTEN/OBSERVE/BUILD/COMPARE/CONNECT</w:t>
            </w:r>
          </w:p>
        </w:tc>
        <w:tc>
          <w:tcPr>
            <w:tcW w:type="dxa" w:w="7344"/>
            <w:vAlign w:val="top"/>
          </w:tcPr>
          <w:p>
            <w:r>
              <w:t>Open each stage and explain what the trainee is expected to do.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6. Demonstrate Corvane Project Reference</w:t>
            </w:r>
          </w:p>
        </w:tc>
        <w:tc>
          <w:tcPr>
            <w:tcW w:type="dxa" w:w="7344"/>
            <w:vAlign w:val="top"/>
          </w:tcPr>
          <w:p>
            <w:r>
              <w:t>Open the workbook, switch several tabs, explain the fictitious company and how the reference keeps scenarios consistent.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7. Demonstrate Sample Documents</w:t>
            </w:r>
          </w:p>
        </w:tc>
        <w:tc>
          <w:tcPr>
            <w:tcW w:type="dxa" w:w="7344"/>
            <w:vAlign w:val="top"/>
          </w:tcPr>
          <w:p>
            <w:r>
              <w:t>Open the library, open a DOCX and XLSX, scroll tables, return to Sample Library, then return to Course Home.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8. Demonstrate BUILD IT</w:t>
            </w:r>
          </w:p>
        </w:tc>
        <w:tc>
          <w:tcPr>
            <w:tcW w:type="dxa" w:w="7344"/>
            <w:vAlign w:val="top"/>
          </w:tcPr>
          <w:p>
            <w:r>
              <w:t>Use Environment or Risks. Show finished product, theory reference, source material, workbook activity and trace to the next artifact.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9. Demonstrate LEAD IT</w:t>
            </w:r>
          </w:p>
        </w:tc>
        <w:tc>
          <w:tcPr>
            <w:tcW w:type="dxa" w:w="7344"/>
            <w:vAlign w:val="top"/>
          </w:tcPr>
          <w:p>
            <w:r>
              <w:t>Use Review Work or Technical Challenge. Explain the shift from doing the work to assigning, reviewing, challenging and approving it.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10. Demonstrate Readiness Enhancements</w:t>
            </w:r>
          </w:p>
        </w:tc>
        <w:tc>
          <w:tcPr>
            <w:tcW w:type="dxa" w:w="7344"/>
            <w:vAlign w:val="top"/>
          </w:tcPr>
          <w:p>
            <w:r>
              <w:t>Open representative technical challenge, DE/OE, IPE, modern SAP, stakeholder, prioritization, RCA and dashboard labs.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11. Demonstrate Submission</w:t>
            </w:r>
          </w:p>
        </w:tc>
        <w:tc>
          <w:tcPr>
            <w:tcW w:type="dxa" w:w="7344"/>
            <w:vAlign w:val="top"/>
          </w:tcPr>
          <w:p>
            <w:r>
              <w:t>Show how the trainee downloads/opens a workbook, completes it, uploads the response and sees submission status.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12. Demonstrate Compare / Feedback</w:t>
            </w:r>
          </w:p>
        </w:tc>
        <w:tc>
          <w:tcPr>
            <w:tcW w:type="dxa" w:w="7344"/>
            <w:vAlign w:val="top"/>
          </w:tcPr>
          <w:p>
            <w:r>
              <w:t>Explain model comparison, instructor review, comments and why a different defensible answer may still be correct.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13. Demonstrate Progress</w:t>
            </w:r>
          </w:p>
        </w:tc>
        <w:tc>
          <w:tcPr>
            <w:tcW w:type="dxa" w:w="7344"/>
            <w:vAlign w:val="top"/>
          </w:tcPr>
          <w:p>
            <w:r>
              <w:t>Complete a self-review item, refresh/re-enter and explain persistence.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14. Demonstrate OWN IT / Capstone</w:t>
            </w:r>
          </w:p>
        </w:tc>
        <w:tc>
          <w:tcPr>
            <w:tcW w:type="dxa" w:w="7344"/>
            <w:vAlign w:val="top"/>
          </w:tcPr>
          <w:p>
            <w:r>
              <w:t>Open the First-30-Day and OWN IT materials. Explain that guidance is intentionally reduced and that the candidate must independently assess, prioritize, delegate, challenge, decide, escalate, report and defend.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>
              <w:t>15. Explain Completion and Readiness</w:t>
            </w:r>
          </w:p>
        </w:tc>
        <w:tc>
          <w:tcPr>
            <w:tcW w:type="dxa" w:w="7344"/>
            <w:vAlign w:val="top"/>
          </w:tcPr>
          <w:p>
            <w:r>
              <w:t>Explain READY / READY WITH COACHING / NOT YET READY and the critical gates.</w:t>
            </w:r>
          </w:p>
        </w:tc>
      </w:tr>
    </w:tbl>
    <w:p>
      <w:pPr>
        <w:pStyle w:val="Heading1"/>
      </w:pPr>
      <w:r>
        <w:t>Detailed Trainer Script</w:t>
      </w:r>
    </w:p>
    <w:p>
      <w:pPr>
        <w:pStyle w:val="Heading2"/>
      </w:pPr>
      <w:r>
        <w:t>A. Opening explanation</w:t>
      </w:r>
    </w:p>
    <w:p>
      <w:r>
        <w:t>Tell the class: 'This application is not an electronic textbook. It is a simulated controls project. You will first learn the theory, then build the artifacts, then manage the work, and finally prove you can own the role.'</w:t>
      </w:r>
    </w:p>
    <w:p>
      <w:pPr>
        <w:pStyle w:val="Heading2"/>
      </w:pPr>
      <w:r>
        <w:t>B. Foundation</w:t>
      </w:r>
    </w:p>
    <w:p>
      <w:r>
        <w:t>Click FOUNDATION · Controls Theory. Explain B0-B10. Open at least B1 Risk Types, B2 Control Types, B6 S/4HANA Lifecycle and B8 Testing. Show the Practitioner Toolkit. Return to the course.</w:t>
      </w:r>
    </w:p>
    <w:p>
      <w:pPr>
        <w:pStyle w:val="Heading2"/>
      </w:pPr>
      <w:r>
        <w:t>C. Project Map</w:t>
      </w:r>
    </w:p>
    <w:p>
      <w:r>
        <w:t>Explain that Environment through Results represents the project delivery chain. Emphasize that later work depends on earlier scope and evidence.</w:t>
      </w:r>
    </w:p>
    <w:p>
      <w:pPr>
        <w:pStyle w:val="Heading2"/>
      </w:pPr>
      <w:r>
        <w:t>D. Stage buttons</w:t>
      </w:r>
    </w:p>
    <w:p>
      <w:r>
        <w:t>SEE shows the standard; LISTEN tells the project story; OBSERVE exposes examples/evidence; BUILD requires action; COMPARE calibrates; CONNECT shows dependencies.</w:t>
      </w:r>
    </w:p>
    <w:p>
      <w:pPr>
        <w:pStyle w:val="Heading2"/>
      </w:pPr>
      <w:r>
        <w:t>E. Reference environment</w:t>
      </w:r>
    </w:p>
    <w:p>
      <w:r>
        <w:t>Open Corvane Project Reference. Show People/Stakeholders, Systems/Landscape, Interfaces, Business Processes, Risks, Controls, Evidence, Meetings and relationship mapping.</w:t>
      </w:r>
    </w:p>
    <w:p>
      <w:pPr>
        <w:pStyle w:val="Heading2"/>
      </w:pPr>
      <w:r>
        <w:t>F. Sample library</w:t>
      </w:r>
    </w:p>
    <w:p>
      <w:r>
        <w:t>Show that trainees are expected to inspect realistic client-like materials rather than receive all facts pre-digested.</w:t>
      </w:r>
    </w:p>
    <w:p>
      <w:pPr>
        <w:pStyle w:val="Heading2"/>
      </w:pPr>
      <w:r>
        <w:t>G. BUILD IT mechanics</w:t>
      </w:r>
    </w:p>
    <w:p>
      <w:r>
        <w:t>Show one activity end to end. Explain how a trainee moves from source documents to a completed work product and how the work product feeds the next activity.</w:t>
      </w:r>
    </w:p>
    <w:p>
      <w:pPr>
        <w:pStyle w:val="Heading2"/>
      </w:pPr>
      <w:r>
        <w:t>H. Theory reference mechanics</w:t>
      </w:r>
    </w:p>
    <w:p>
      <w:r>
        <w:t>In Risks/Controls/Testing/Technical Challenge, show the embedded Theory Reference links. Explain that theory is available when needed without repeating the full Foundation course.</w:t>
      </w:r>
    </w:p>
    <w:p>
      <w:pPr>
        <w:pStyle w:val="Heading2"/>
      </w:pPr>
      <w:r>
        <w:t>I. LEAD IT mechanics</w:t>
      </w:r>
    </w:p>
    <w:p>
      <w:r>
        <w:t>Show Take Command, Manage Team, Review Work, Technical Challenge, Manage Audit, Remediation, Executive Governance and 30-Day Capstone. Explain OWN, DELEGATE, REVIEW, CHALLENGE, APPROVE, ESCALATE.</w:t>
      </w:r>
    </w:p>
    <w:p>
      <w:pPr>
        <w:pStyle w:val="Heading2"/>
      </w:pPr>
      <w:r>
        <w:t>J. Enhancement labs</w:t>
      </w:r>
    </w:p>
    <w:p>
      <w:r>
        <w:t>Show how labs introduce realistic ambiguity: imperfect workpapers, unreliable IPE, expired SoD mitigations, incomplete testing, resource constraints, stakeholder pushback and audit deadlines.</w:t>
      </w:r>
    </w:p>
    <w:p>
      <w:pPr>
        <w:pStyle w:val="Heading2"/>
      </w:pPr>
      <w:r>
        <w:t>K. Submission and feedback</w:t>
      </w:r>
    </w:p>
    <w:p>
      <w:r>
        <w:t>Demonstrate file upload and status. Explain that instructor feedback evaluates reasoning, evidence and judgment, not formatting alone.</w:t>
      </w:r>
    </w:p>
    <w:p>
      <w:pPr>
        <w:pStyle w:val="Heading2"/>
      </w:pPr>
      <w:r>
        <w:t>L. Capstone</w:t>
      </w:r>
    </w:p>
    <w:p>
      <w:r>
        <w:t>Explain that the final environment contains conflicting facts and no answer sequence. The candidate must make decisions and defend them verbally.</w:t>
      </w:r>
    </w:p>
    <w:p>
      <w:pPr>
        <w:pStyle w:val="Heading2"/>
      </w:pPr>
      <w:r>
        <w:t>M. Troubleshooting</w:t>
      </w:r>
    </w:p>
    <w:p>
      <w:r>
        <w:t>If a document appears narrow, use the expanded viewer and scroll. If a file does not open, return to the library and retry. Refresh only after confirming a submission is saved. Do not rename required submission files unless instructed.</w:t>
      </w:r>
    </w:p>
    <w:p>
      <w:pPr>
        <w:pStyle w:val="Heading1"/>
      </w:pPr>
      <w:r>
        <w:t>Trainee Pre-Class Practice Checklist</w:t>
      </w:r>
    </w:p>
    <w:p>
      <w:r>
        <w:t>☐ Sign in and sign out successfully.</w:t>
      </w:r>
    </w:p>
    <w:p>
      <w:r>
        <w:t>☐ Open Foundation and open at least three B-series theory pages.</w:t>
      </w:r>
    </w:p>
    <w:p>
      <w:r>
        <w:t>☐ Open Corvane Project Reference and move between at least five worksheet tabs.</w:t>
      </w:r>
    </w:p>
    <w:p>
      <w:r>
        <w:t>☐ Open Sample Documents; view one Word file and one Excel file; return to the library.</w:t>
      </w:r>
    </w:p>
    <w:p>
      <w:r>
        <w:t>☐ Open Environment and click every learning stage: SEE, LISTEN, OBSERVE, BUILD, COMPARE, CONNECT.</w:t>
      </w:r>
    </w:p>
    <w:p>
      <w:r>
        <w:t>☐ Open Risks or Controls and use a Theory Reference link.</w:t>
      </w:r>
    </w:p>
    <w:p>
      <w:r>
        <w:t>☐ Open one LEAD IT activity and identify its leadership output.</w:t>
      </w:r>
    </w:p>
    <w:p>
      <w:r>
        <w:t>☐ Locate the readiness-enhancement materials.</w:t>
      </w:r>
    </w:p>
    <w:p>
      <w:r>
        <w:t>☐ Locate the 30-Day Capstone / OWN IT materials.</w:t>
      </w:r>
    </w:p>
    <w:p>
      <w:r>
        <w:t>☐ Know where progress, current activity and course stage are displayed.</w:t>
      </w:r>
    </w:p>
    <w:p>
      <w:pPr>
        <w:pStyle w:val="Heading1"/>
      </w:pPr>
      <w:r>
        <w:t>Trainer Demonstration Acceptance Checklist</w:t>
      </w:r>
    </w:p>
    <w:p>
      <w:r>
        <w:t>☐ Foundation opens and B0-B10 are readable.</w:t>
      </w:r>
    </w:p>
    <w:p>
      <w:r>
        <w:t>☐ Project map shows all 9 BUILD IT and 8 LEAD IT activities.</w:t>
      </w:r>
    </w:p>
    <w:p>
      <w:r>
        <w:t>☐ Meaningful LEAD IT labels appear.</w:t>
      </w:r>
    </w:p>
    <w:p>
      <w:r>
        <w:t>☐ Corvane reference opens and workbook tabs are usable.</w:t>
      </w:r>
    </w:p>
    <w:p>
      <w:r>
        <w:t>☐ Sample library opens DOCX/XLSX and return navigation works.</w:t>
      </w:r>
    </w:p>
    <w:p>
      <w:r>
        <w:t>☐ SEE/LISTEN/OBSERVE/BUILD/COMPARE/CONNECT render correctly.</w:t>
      </w:r>
    </w:p>
    <w:p>
      <w:r>
        <w:t>☐ Theory Reference links work.</w:t>
      </w:r>
    </w:p>
    <w:p>
      <w:r>
        <w:t>☐ Enhancement workbooks open.</w:t>
      </w:r>
    </w:p>
    <w:p>
      <w:r>
        <w:t>☐ Submission and progress behavior are demonstrated with a test account.</w:t>
      </w:r>
    </w:p>
    <w:p>
      <w:r>
        <w:t>☐ OWN IT materials are visible while instructor-only Batch 15 content remains separated.</w:t>
      </w:r>
    </w:p>
    <w:p>
      <w:r>
        <w:t>☐ Desktop and mobile/tablet layouts are demonstrated where possible.</w:t>
      </w:r>
    </w:p>
    <w:p>
      <w:pPr>
        <w:pStyle w:val="Heading1"/>
      </w:pPr>
      <w:r>
        <w:t>Trainer Talking Points: Why the Method Is Different</w:t>
      </w:r>
    </w:p>
    <w:p>
      <w:pPr>
        <w:pStyle w:val="ListBullet"/>
      </w:pPr>
      <w:r>
        <w:t>One fictitious company creates continuity instead of isolated examples.</w:t>
      </w:r>
    </w:p>
    <w:p>
      <w:pPr>
        <w:pStyle w:val="ListBullet"/>
      </w:pPr>
      <w:r>
        <w:t>Actual Excel workbooks make spreadsheet execution part of the job skill.</w:t>
      </w:r>
    </w:p>
    <w:p>
      <w:pPr>
        <w:pStyle w:val="ListBullet"/>
      </w:pPr>
      <w:r>
        <w:t>Evidence is treated as something to validate, not merely collect.</w:t>
      </w:r>
    </w:p>
    <w:p>
      <w:pPr>
        <w:pStyle w:val="ListBullet"/>
      </w:pPr>
      <w:r>
        <w:t>Technical assertions are challenged at manager level without pretending the manager is the configurator.</w:t>
      </w:r>
    </w:p>
    <w:p>
      <w:pPr>
        <w:pStyle w:val="ListBullet"/>
      </w:pPr>
      <w:r>
        <w:t>Leadership is assessed through delegation, review, escalation and verbal defense.</w:t>
      </w:r>
    </w:p>
    <w:p>
      <w:pPr>
        <w:pStyle w:val="ListBullet"/>
      </w:pPr>
      <w:r>
        <w:t>The final gate tests behavior under ambiguity rather than recall under ideal conditions.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