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7365D"/>
        </w:rPr>
        <w:t>HOW TIB ILA TEACHES</w:t>
      </w:r>
    </w:p>
    <w:p>
      <w:pPr>
        <w:jc w:val="center"/>
      </w:pPr>
      <w:r>
        <w:rPr>
          <w:b/>
          <w:color w:val="800000"/>
        </w:rPr>
        <w:t>Training Strategy, Learning Architecture and Assessment Logic</w:t>
      </w:r>
    </w:p>
    <w:p>
      <w:pPr>
        <w:jc w:val="center"/>
      </w:pPr>
      <w:r>
        <w:rPr>
          <w:i/>
        </w:rPr>
        <w:t>TIB Systems LLC | TIB Academy Interactive Learning</w:t>
      </w:r>
    </w:p>
    <w:p>
      <w:pPr>
        <w:pStyle w:val="Heading1"/>
      </w:pPr>
      <w:r>
        <w:t>Why This Document Exists</w:t>
      </w:r>
    </w:p>
    <w:p>
      <w:r>
        <w:t>TIB ILA does not teach controls as a sequence of lectures followed by a final examination. It is designed to reproduce how a Controls Lead or Controls Manager actually learns, works, supervises and defends decisions on a live project. Because this delivery model is uncommon, the trainee should understand the learning architecture before beginning the course.</w:t>
      </w:r>
    </w:p>
    <w:tbl>
      <w:tblPr>
        <w:tblW w:type="auto" w:w="0"/>
        <w:jc w:val="center"/>
        <w:tblLayout w:type="fixed"/>
        <w:tblLook w:firstColumn="1" w:firstRow="1" w:lastColumn="0" w:lastRow="0" w:noHBand="0" w:noVBand="1" w:val="04A0"/>
      </w:tblPr>
      <w:tblGrid>
        <w:gridCol w:w="10166"/>
      </w:tblGrid>
      <w:tr>
        <w:trPr>
          <w:cantSplit/>
        </w:trPr>
        <w:tc>
          <w:tcPr>
            <w:tcW w:type="dxa" w:w="9792"/>
            <w:shd w:fill="EAF2F3"/>
            <w:vAlign w:val="center"/>
          </w:tcPr>
          <w:p>
            <w:pPr>
              <w:jc w:val="center"/>
            </w:pPr>
            <w:r>
              <w:rPr>
                <w:b/>
                <w:color w:val="0F6B6D"/>
              </w:rPr>
              <w:t>FOUNDATION → BUILD IT → LEAD IT → OWN IT</w:t>
            </w:r>
          </w:p>
        </w:tc>
      </w:tr>
    </w:tbl>
    <w:p>
      <w:pPr>
        <w:pStyle w:val="Heading1"/>
      </w:pPr>
      <w:r>
        <w:t>The Four Learning Layers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584"/>
            <w:shd w:fill="17365D"/>
          </w:tcPr>
          <w:p>
            <w:r>
              <w:rPr>
                <w:b/>
                <w:color w:val="FFFFFF"/>
              </w:rPr>
              <w:t>Layer</w:t>
            </w:r>
          </w:p>
        </w:tc>
        <w:tc>
          <w:tcPr>
            <w:tcW w:type="dxa" w:w="2016"/>
            <w:shd w:fill="17365D"/>
          </w:tcPr>
          <w:p>
            <w:r>
              <w:rPr>
                <w:b/>
                <w:color w:val="FFFFFF"/>
              </w:rPr>
              <w:t>Purpose</w:t>
            </w:r>
          </w:p>
        </w:tc>
        <w:tc>
          <w:tcPr>
            <w:tcW w:type="dxa" w:w="4320"/>
            <w:shd w:fill="17365D"/>
          </w:tcPr>
          <w:p>
            <w:r>
              <w:rPr>
                <w:b/>
                <w:color w:val="FFFFFF"/>
              </w:rPr>
              <w:t>What Happens</w:t>
            </w:r>
          </w:p>
        </w:tc>
        <w:tc>
          <w:tcPr>
            <w:tcW w:type="dxa" w:w="2448"/>
            <w:shd w:fill="17365D"/>
          </w:tcPr>
          <w:p>
            <w:r>
              <w:rPr>
                <w:b/>
                <w:color w:val="FFFFFF"/>
              </w:rPr>
              <w:t>Question Being Tested</w:t>
            </w:r>
          </w:p>
        </w:tc>
      </w:tr>
      <w:tr>
        <w:trPr>
          <w:cantSplit/>
        </w:trPr>
        <w:tc>
          <w:tcPr>
            <w:tcW w:type="dxa" w:w="1584"/>
            <w:vAlign w:val="top"/>
          </w:tcPr>
          <w:p>
            <w:r>
              <w:t>FOUNDATION</w:t>
            </w:r>
          </w:p>
        </w:tc>
        <w:tc>
          <w:tcPr>
            <w:tcW w:type="dxa" w:w="2016"/>
            <w:vAlign w:val="top"/>
          </w:tcPr>
          <w:p>
            <w:r>
              <w:t>Learn the language and principles of controls.</w:t>
            </w:r>
          </w:p>
        </w:tc>
        <w:tc>
          <w:tcPr>
            <w:tcW w:type="dxa" w:w="4320"/>
            <w:vAlign w:val="top"/>
          </w:tcPr>
          <w:p>
            <w:r>
              <w:t>B0-B10 Controls Theory: goals, risks, control types/nature, engagement types, S/4HANA lifecycle, FD documents, testing decisions, AI and practitioner capstone.</w:t>
            </w:r>
          </w:p>
        </w:tc>
        <w:tc>
          <w:tcPr>
            <w:tcW w:type="dxa" w:w="2448"/>
            <w:vAlign w:val="top"/>
          </w:tcPr>
          <w:p>
            <w:r>
              <w:t>Can I explain the theory accurately?</w:t>
            </w:r>
          </w:p>
        </w:tc>
      </w:tr>
      <w:tr>
        <w:trPr>
          <w:cantSplit/>
        </w:trPr>
        <w:tc>
          <w:tcPr>
            <w:tcW w:type="dxa" w:w="1584"/>
            <w:vAlign w:val="top"/>
          </w:tcPr>
          <w:p>
            <w:r>
              <w:t>BUILD IT</w:t>
            </w:r>
          </w:p>
        </w:tc>
        <w:tc>
          <w:tcPr>
            <w:tcW w:type="dxa" w:w="2016"/>
            <w:vAlign w:val="top"/>
          </w:tcPr>
          <w:p>
            <w:r>
              <w:t>Learn how the work is actually constructed.</w:t>
            </w:r>
          </w:p>
        </w:tc>
        <w:tc>
          <w:tcPr>
            <w:tcW w:type="dxa" w:w="4320"/>
            <w:vAlign w:val="top"/>
          </w:tcPr>
          <w:p>
            <w:r>
              <w:t>9 project activities: Environment, Information Flows, Business Processes, Risks, Controls, Owners, Evidence, Testing, Results.</w:t>
            </w:r>
          </w:p>
        </w:tc>
        <w:tc>
          <w:tcPr>
            <w:tcW w:type="dxa" w:w="2448"/>
            <w:vAlign w:val="top"/>
          </w:tcPr>
          <w:p>
            <w:r>
              <w:t>Can I personally build and trace the core project artifacts?</w:t>
            </w:r>
          </w:p>
        </w:tc>
      </w:tr>
      <w:tr>
        <w:trPr>
          <w:cantSplit/>
        </w:trPr>
        <w:tc>
          <w:tcPr>
            <w:tcW w:type="dxa" w:w="1584"/>
            <w:vAlign w:val="top"/>
          </w:tcPr>
          <w:p>
            <w:r>
              <w:t>LEAD IT</w:t>
            </w:r>
          </w:p>
        </w:tc>
        <w:tc>
          <w:tcPr>
            <w:tcW w:type="dxa" w:w="2016"/>
            <w:vAlign w:val="top"/>
          </w:tcPr>
          <w:p>
            <w:r>
              <w:t>Move from individual contributor to manager.</w:t>
            </w:r>
          </w:p>
        </w:tc>
        <w:tc>
          <w:tcPr>
            <w:tcW w:type="dxa" w:w="4320"/>
            <w:vAlign w:val="top"/>
          </w:tcPr>
          <w:p>
            <w:r>
              <w:t>8 leadership activities: Take Command, Manage Team, Review Work, Technical Challenge, Manage Audit, Remediation, Executive Governance, 30-Day Capstone.</w:t>
            </w:r>
          </w:p>
        </w:tc>
        <w:tc>
          <w:tcPr>
            <w:tcW w:type="dxa" w:w="2448"/>
            <w:vAlign w:val="top"/>
          </w:tcPr>
          <w:p>
            <w:r>
              <w:t>Can I assign, review, challenge, approve, escalate and govern other people's work?</w:t>
            </w:r>
          </w:p>
        </w:tc>
      </w:tr>
      <w:tr>
        <w:trPr>
          <w:cantSplit/>
        </w:trPr>
        <w:tc>
          <w:tcPr>
            <w:tcW w:type="dxa" w:w="1584"/>
            <w:vAlign w:val="top"/>
          </w:tcPr>
          <w:p>
            <w:r>
              <w:t>OWN IT</w:t>
            </w:r>
          </w:p>
        </w:tc>
        <w:tc>
          <w:tcPr>
            <w:tcW w:type="dxa" w:w="2016"/>
            <w:vAlign w:val="top"/>
          </w:tcPr>
          <w:p>
            <w:r>
              <w:t>Demonstrate employment readiness.</w:t>
            </w:r>
          </w:p>
        </w:tc>
        <w:tc>
          <w:tcPr>
            <w:tcW w:type="dxa" w:w="4320"/>
            <w:vAlign w:val="top"/>
          </w:tcPr>
          <w:p>
            <w:r>
              <w:t>Inherited environment, competing risks, weak evidence, technical assertions, audit pressure, resource constraints and verbal defense.</w:t>
            </w:r>
          </w:p>
        </w:tc>
        <w:tc>
          <w:tcPr>
            <w:tcW w:type="dxa" w:w="2448"/>
            <w:vAlign w:val="top"/>
          </w:tcPr>
          <w:p>
            <w:r>
              <w:t>Can I take command of the job and defend my decisions without being coached?</w:t>
            </w:r>
          </w:p>
        </w:tc>
      </w:tr>
    </w:tbl>
    <w:p>
      <w:pPr>
        <w:pStyle w:val="Heading1"/>
      </w:pPr>
      <w:r>
        <w:t>The Learning Engine: SEE → LISTEN → OBSERVE → BUILD → COMPARE → CONNECT</w:t>
      </w:r>
    </w:p>
    <w:p>
      <w:pPr>
        <w:pStyle w:val="Heading2"/>
      </w:pPr>
      <w:r>
        <w:t>SEE</w:t>
      </w:r>
    </w:p>
    <w:p>
      <w:r>
        <w:t>Start with the finished product. The trainee sees what good work looks like and where the artifact fits in the end-to-end controls chain.</w:t>
      </w:r>
    </w:p>
    <w:p>
      <w:pPr>
        <w:pStyle w:val="Heading2"/>
      </w:pPr>
      <w:r>
        <w:t>LISTEN</w:t>
      </w:r>
    </w:p>
    <w:p>
      <w:r>
        <w:t>Hear the work as a first-person project story. Narration explains what the practitioner is doing, why it is being done and what judgment is being applied.</w:t>
      </w:r>
    </w:p>
    <w:p>
      <w:pPr>
        <w:pStyle w:val="Heading2"/>
      </w:pPr>
      <w:r>
        <w:t>OBSERVE</w:t>
      </w:r>
    </w:p>
    <w:p>
      <w:r>
        <w:t>Study examples, source documents, Corvane reference data, screenshots, workpapers and supporting evidence before attempting the task.</w:t>
      </w:r>
    </w:p>
    <w:p>
      <w:pPr>
        <w:pStyle w:val="Heading2"/>
      </w:pPr>
      <w:r>
        <w:t>BUILD</w:t>
      </w:r>
    </w:p>
    <w:p>
      <w:r>
        <w:t>Perform the work. The trainee completes an actual workbook, analysis, decision register, workpaper, dashboard or leadership output.</w:t>
      </w:r>
    </w:p>
    <w:p>
      <w:pPr>
        <w:pStyle w:val="Heading2"/>
      </w:pPr>
      <w:r>
        <w:t>COMPARE</w:t>
      </w:r>
    </w:p>
    <w:p>
      <w:r>
        <w:t>Compare the trainee's work with a model, completed example, scoring standard or instructor feedback. The purpose is not copying; it is calibration.</w:t>
      </w:r>
    </w:p>
    <w:p>
      <w:pPr>
        <w:pStyle w:val="Heading2"/>
      </w:pPr>
      <w:r>
        <w:t>CONNECT</w:t>
      </w:r>
    </w:p>
    <w:p>
      <w:r>
        <w:t>Trace the output forward and backward through the project so the trainee understands dependencies rather than treating each workbook as an isolated exercise.</w:t>
      </w:r>
    </w:p>
    <w:tbl>
      <w:tblPr>
        <w:tblW w:type="auto" w:w="0"/>
        <w:jc w:val="center"/>
        <w:tblLayout w:type="fixed"/>
        <w:tblLook w:firstColumn="1" w:firstRow="1" w:lastColumn="0" w:lastRow="0" w:noHBand="0" w:noVBand="1" w:val="04A0"/>
      </w:tblPr>
      <w:tblGrid>
        <w:gridCol w:w="10166"/>
      </w:tblGrid>
      <w:tr>
        <w:trPr>
          <w:cantSplit/>
        </w:trPr>
        <w:tc>
          <w:tcPr>
            <w:tcW w:type="dxa" w:w="9792"/>
            <w:shd w:fill="EAF2F3"/>
            <w:vAlign w:val="center"/>
          </w:tcPr>
          <w:p>
            <w:pPr>
              <w:jc w:val="center"/>
            </w:pPr>
            <w:r>
              <w:rPr>
                <w:b/>
                <w:color w:val="0F6B6D"/>
              </w:rPr>
              <w:t>SEE the standard → HEAR the reasoning → OBSERVE the evidence → BUILD the work → COMPARE judgment → CONNECT the project</w:t>
            </w:r>
          </w:p>
        </w:tc>
      </w:tr>
    </w:tbl>
    <w:p>
      <w:pPr>
        <w:pStyle w:val="Heading1"/>
      </w:pPr>
      <w:r>
        <w:t>The Project Chain</w:t>
      </w:r>
    </w:p>
    <w:p>
      <w:r>
        <w:t>Every practical activity is anchored to one project chain. The trainee repeatedly moves forward through the chain and then traces backward to confirm completeness:</w:t>
      </w:r>
    </w:p>
    <w:tbl>
      <w:tblPr>
        <w:tblW w:type="auto" w:w="0"/>
        <w:jc w:val="center"/>
        <w:tblLayout w:type="fixed"/>
        <w:tblLook w:firstColumn="1" w:firstRow="1" w:lastColumn="0" w:lastRow="0" w:noHBand="0" w:noVBand="1" w:val="04A0"/>
      </w:tblPr>
      <w:tblGrid>
        <w:gridCol w:w="10166"/>
      </w:tblGrid>
      <w:tr>
        <w:trPr>
          <w:cantSplit/>
        </w:trPr>
        <w:tc>
          <w:tcPr>
            <w:tcW w:type="dxa" w:w="9792"/>
            <w:shd w:fill="EAF2F3"/>
            <w:vAlign w:val="center"/>
          </w:tcPr>
          <w:p>
            <w:pPr>
              <w:jc w:val="center"/>
            </w:pPr>
            <w:r>
              <w:rPr>
                <w:b/>
                <w:color w:val="0F6B6D"/>
              </w:rPr>
              <w:t>Environment → Information Flows → Business Processes → Risks → Controls → Owners → Evidence → Testing → Results</w:t>
            </w:r>
          </w:p>
        </w:tc>
      </w:tr>
    </w:tbl>
    <w:p>
      <w:r>
        <w:t>This prevents a common training failure: knowing definitions without understanding how one controls decision creates the next work product.</w:t>
      </w:r>
    </w:p>
    <w:p>
      <w:pPr>
        <w:pStyle w:val="Heading1"/>
      </w:pPr>
      <w:r>
        <w:t>Why the Corvane Energy Environment Matters</w:t>
      </w:r>
    </w:p>
    <w:p>
      <w:r>
        <w:t>The fictitious Corvane Energy Group provides one consistent company, people structure, SAP landscape, interfaces, business processes, risks, controls, evidence, meetings, audit issues and management pressures. The learner is therefore not solving disconnected classroom examples. Each activity feels like another day on the same project.</w:t>
      </w:r>
    </w:p>
    <w:p>
      <w:pPr>
        <w:pStyle w:val="Heading1"/>
      </w:pPr>
      <w:r>
        <w:t>Three Kinds of Learning Evidence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304"/>
            <w:shd w:fill="17365D"/>
          </w:tcPr>
          <w:p>
            <w:r>
              <w:rPr>
                <w:b/>
                <w:color w:val="FFFFFF"/>
              </w:rPr>
              <w:t>Evidence of Learning</w:t>
            </w:r>
          </w:p>
        </w:tc>
        <w:tc>
          <w:tcPr>
            <w:tcW w:type="dxa" w:w="4608"/>
            <w:shd w:fill="17365D"/>
          </w:tcPr>
          <w:p>
            <w:r>
              <w:rPr>
                <w:b/>
                <w:color w:val="FFFFFF"/>
              </w:rPr>
              <w:t>Examples</w:t>
            </w:r>
          </w:p>
        </w:tc>
        <w:tc>
          <w:tcPr>
            <w:tcW w:type="dxa" w:w="3456"/>
            <w:shd w:fill="17365D"/>
          </w:tcPr>
          <w:p>
            <w:r>
              <w:rPr>
                <w:b/>
                <w:color w:val="FFFFFF"/>
              </w:rPr>
              <w:t>What It Proves</w:t>
            </w:r>
          </w:p>
        </w:tc>
      </w:tr>
      <w:tr>
        <w:trPr>
          <w:cantSplit/>
        </w:trPr>
        <w:tc>
          <w:tcPr>
            <w:tcW w:type="dxa" w:w="2304"/>
            <w:vAlign w:val="top"/>
          </w:tcPr>
          <w:p>
            <w:r>
              <w:t>Knowledge evidence</w:t>
            </w:r>
          </w:p>
        </w:tc>
        <w:tc>
          <w:tcPr>
            <w:tcW w:type="dxa" w:w="4608"/>
            <w:vAlign w:val="top"/>
          </w:tcPr>
          <w:p>
            <w:r>
              <w:t>Foundation theory, definitions, framework references</w:t>
            </w:r>
          </w:p>
        </w:tc>
        <w:tc>
          <w:tcPr>
            <w:tcW w:type="dxa" w:w="3456"/>
            <w:vAlign w:val="top"/>
          </w:tcPr>
          <w:p>
            <w:r>
              <w:t>The trainee understands the language and concepts.</w:t>
            </w:r>
          </w:p>
        </w:tc>
      </w:tr>
      <w:tr>
        <w:trPr>
          <w:cantSplit/>
        </w:trPr>
        <w:tc>
          <w:tcPr>
            <w:tcW w:type="dxa" w:w="2304"/>
            <w:vAlign w:val="top"/>
          </w:tcPr>
          <w:p>
            <w:r>
              <w:t>Work-product evidence</w:t>
            </w:r>
          </w:p>
        </w:tc>
        <w:tc>
          <w:tcPr>
            <w:tcW w:type="dxa" w:w="4608"/>
            <w:vAlign w:val="top"/>
          </w:tcPr>
          <w:p>
            <w:r>
              <w:t>Inventories, RCMs, evidence registers, test plans, workpapers, dashboards</w:t>
            </w:r>
          </w:p>
        </w:tc>
        <w:tc>
          <w:tcPr>
            <w:tcW w:type="dxa" w:w="3456"/>
            <w:vAlign w:val="top"/>
          </w:tcPr>
          <w:p>
            <w:r>
              <w:t>The trainee can produce the artifacts used on the job.</w:t>
            </w:r>
          </w:p>
        </w:tc>
      </w:tr>
      <w:tr>
        <w:trPr>
          <w:cantSplit/>
        </w:trPr>
        <w:tc>
          <w:tcPr>
            <w:tcW w:type="dxa" w:w="2304"/>
            <w:vAlign w:val="top"/>
          </w:tcPr>
          <w:p>
            <w:r>
              <w:t>Judgment evidence</w:t>
            </w:r>
          </w:p>
        </w:tc>
        <w:tc>
          <w:tcPr>
            <w:tcW w:type="dxa" w:w="4608"/>
            <w:vAlign w:val="top"/>
          </w:tcPr>
          <w:p>
            <w:r>
              <w:t>Prioritization, technical challenge, audit response, remediation, escalation, verbal defense</w:t>
            </w:r>
          </w:p>
        </w:tc>
        <w:tc>
          <w:tcPr>
            <w:tcW w:type="dxa" w:w="3456"/>
            <w:vAlign w:val="top"/>
          </w:tcPr>
          <w:p>
            <w:r>
              <w:t>The trainee can make and defend management decisions under ambiguity.</w:t>
            </w:r>
          </w:p>
        </w:tc>
      </w:tr>
    </w:tbl>
    <w:p>
      <w:pPr>
        <w:pStyle w:val="Heading1"/>
      </w:pPr>
      <w:r>
        <w:t>How Difficulty Increases</w:t>
      </w:r>
    </w:p>
    <w:p>
      <w:r>
        <w:t>Early activities make the reasoning visible. Later activities progressively remove guidance. The final OWN IT gate deliberately provides incomplete, conflicting and imperfect information. This is intentional: the workplace rarely provides a clean answer key.</w:t>
      </w:r>
    </w:p>
    <w:tbl>
      <w:tblPr>
        <w:tblW w:type="auto" w:w="0"/>
        <w:jc w:val="center"/>
        <w:tblLayout w:type="fixed"/>
        <w:tblLook w:firstColumn="1" w:firstRow="1" w:lastColumn="0" w:lastRow="0" w:noHBand="0" w:noVBand="1" w:val="04A0"/>
      </w:tblPr>
      <w:tblGrid>
        <w:gridCol w:w="10166"/>
      </w:tblGrid>
      <w:tr>
        <w:trPr>
          <w:cantSplit/>
        </w:trPr>
        <w:tc>
          <w:tcPr>
            <w:tcW w:type="dxa" w:w="9792"/>
            <w:shd w:fill="EAF2F3"/>
            <w:vAlign w:val="center"/>
          </w:tcPr>
          <w:p>
            <w:pPr>
              <w:jc w:val="center"/>
            </w:pPr>
            <w:r>
              <w:rPr>
                <w:b/>
                <w:color w:val="0F6B6D"/>
              </w:rPr>
              <w:t>GUIDED → PRACTICED → REVIEWED → CHALLENGED → INDEPENDENT</w:t>
            </w:r>
          </w:p>
        </w:tc>
      </w:tr>
    </w:tbl>
    <w:p>
      <w:pPr>
        <w:pStyle w:val="Heading1"/>
      </w:pPr>
      <w:r>
        <w:t>What the Trainee Is Expected to Become</w:t>
      </w:r>
    </w:p>
    <w:p>
      <w:r>
        <w:t>The target is not a person who memorizes control terminology or personally performs every technical task. The target is a Controls Lead/Manager who can independently understand and scope an SAP controls environment, build every core project artifact when necessary, assign work to specialists and analysts, challenge technical and business assertions, review and approve work, manage audit and deficiencies, prioritize risk, escalate appropriately, and communicate a defensible controls position to management.</w:t>
      </w:r>
    </w:p>
    <w:p>
      <w:pPr>
        <w:pStyle w:val="Heading1"/>
      </w:pPr>
      <w:r>
        <w:t>What the Course Does Not Pretend to Do</w:t>
      </w:r>
    </w:p>
    <w:p>
      <w:r>
        <w:t>TIB ILA does not replace deep configuration training for a SAP GRC or SAP Security engineer. It does not require a Controls Manager to configure SPRO, MSMP, BRF+, PFCG, SU24, GRC connectors or Fiori technical objects. Instead, the manager learns enough technical literacy to know what to ask, what evidence to require, when an assertion is unsupported and when a specialist is needed.</w:t>
      </w:r>
    </w:p>
    <w:p>
      <w:pPr>
        <w:pStyle w:val="Heading1"/>
      </w:pPr>
      <w:r>
        <w:t>How Assessment Works</w:t>
      </w:r>
    </w:p>
    <w:p>
      <w:pPr>
        <w:pStyle w:val="ListBullet"/>
      </w:pPr>
      <w:r>
        <w:t>Completion is not the same as competence. A filled template can still be wrong.</w:t>
      </w:r>
    </w:p>
    <w:p>
      <w:pPr>
        <w:pStyle w:val="ListBullet"/>
      </w:pPr>
      <w:r>
        <w:t>Model answers are reasoning references, not scripts. A different answer can pass when it is supported by facts, evidence and defensible judgment.</w:t>
      </w:r>
    </w:p>
    <w:p>
      <w:pPr>
        <w:pStyle w:val="ListBullet"/>
      </w:pPr>
      <w:r>
        <w:t>Unsupported confidence scores worse than an evidence-based statement that more information is required.</w:t>
      </w:r>
    </w:p>
    <w:p>
      <w:pPr>
        <w:pStyle w:val="ListBullet"/>
      </w:pPr>
      <w:r>
        <w:t>High-risk failures in prioritization, evidence/audit defensibility, delegation, escalation judgment or intellectual honesty can prevent a READY decision even when the numerical score is high.</w:t>
      </w:r>
    </w:p>
    <w:p>
      <w:pPr>
        <w:pStyle w:val="ListBullet"/>
      </w:pPr>
      <w:r>
        <w:t>The final readiness outcomes are READY, READY WITH COACHING, or NOT YET READY.</w:t>
      </w:r>
    </w:p>
    <w:p>
      <w:pPr>
        <w:pStyle w:val="Heading1"/>
      </w:pPr>
      <w:r>
        <w:t>How to Use the Application Before Class</w:t>
      </w:r>
    </w:p>
    <w:p>
      <w:r>
        <w:t>Before the first instructor-led session, the trainee should use the Demo/User Guide to learn the mechanics of the application: navigation, Foundation, project map, SEE/LISTEN/OBSERVE/BUILD/COMPARE/CONNECT, Corvane reference, Sample Documents, workbook viewing, submission, progress, and the difference between BUILD IT, LEAD IT and OWN IT. The objective is to remove navigation friction before learning begins.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