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TIB SYSTEMS LLC</w:t>
      </w:r>
    </w:p>
    <w:p>
      <w:pPr>
        <w:jc w:val="center"/>
      </w:pPr>
      <w:r>
        <w:rPr>
          <w:b/>
          <w:sz w:val="36"/>
        </w:rPr>
        <w:t>Landscape Diagram and System Overview</w:t>
      </w:r>
    </w:p>
    <w:p>
      <w:pPr>
        <w:jc w:val="center"/>
      </w:pPr>
      <w:r>
        <w:rPr>
          <w:i/>
          <w:sz w:val="20"/>
        </w:rPr>
        <w:t>Technology Architecture — Controlled Copy</w:t>
      </w:r>
    </w:p>
    <w:p>
      <w:r>
        <w:t>Fictitious training sample — Corvane Energy Group. Designed to show what a realistic client document may look like; not copied from any external organization.</w:t>
      </w:r>
    </w:p>
    <w:p>
      <w:pPr>
        <w:pStyle w:val="Heading1"/>
      </w:pPr>
      <w:r>
        <w:t>Purpose</w:t>
      </w:r>
    </w:p>
    <w:p>
      <w:r>
        <w:t>Describe the in-scope technology environment, system roles, hosting and ownership.</w:t>
      </w:r>
    </w:p>
    <w:p>
      <w:pPr>
        <w:pStyle w:val="Heading1"/>
      </w:pPr>
      <w:r>
        <w:t>Architecture Narrative</w:t>
      </w:r>
    </w:p>
    <w:p>
      <w:r>
        <w:t>Corvane operates a three-system SAP S/4HANA landscape: DEV for configuration/development, QAS for testing, and PRD for productive processing. SAP GRC Access Control supports access governance. MuleSoft supports selected interfaces. Workday provides HR master data and the banking portal receives approved payment files.</w:t>
      </w:r>
    </w:p>
    <w:p>
      <w:pPr>
        <w:pStyle w:val="Heading1"/>
      </w:pPr>
      <w:r>
        <w:t>Key Control Expectations</w:t>
      </w:r>
    </w:p>
    <w:p>
      <w:pPr>
        <w:pStyle w:val="ListBullet"/>
      </w:pPr>
      <w:r>
        <w:t>Changes originate in DEV, are tested in QAS and are promoted to PRD through controlled transports.</w:t>
      </w:r>
    </w:p>
    <w:p>
      <w:pPr>
        <w:pStyle w:val="ListBullet"/>
      </w:pPr>
      <w:r>
        <w:t>Production access is restricted.</w:t>
      </w:r>
    </w:p>
    <w:p>
      <w:pPr>
        <w:pStyle w:val="ListBullet"/>
      </w:pPr>
      <w:r>
        <w:t>Interfaces have named owners and monitoring responsibilities.</w:t>
      </w:r>
    </w:p>
    <w:p>
      <w:pPr>
        <w:pStyle w:val="Heading1"/>
      </w:pPr>
      <w:r>
        <w:t>System Register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sz w:val="16"/>
              </w:rPr>
              <w:t>System</w:t>
            </w:r>
          </w:p>
        </w:tc>
        <w:tc>
          <w:tcPr>
            <w:tcW w:type="dxa" w:w="2556"/>
            <w:shd w:fill="17365D"/>
          </w:tcPr>
          <w:p>
            <w:r>
              <w:rPr>
                <w:b/>
                <w:sz w:val="16"/>
              </w:rPr>
              <w:t>Environment</w:t>
            </w:r>
          </w:p>
        </w:tc>
        <w:tc>
          <w:tcPr>
            <w:tcW w:type="dxa" w:w="2556"/>
            <w:shd w:fill="17365D"/>
          </w:tcPr>
          <w:p>
            <w:r>
              <w:rPr>
                <w:b/>
                <w:sz w:val="16"/>
              </w:rPr>
              <w:t>Purpose</w:t>
            </w:r>
          </w:p>
        </w:tc>
        <w:tc>
          <w:tcPr>
            <w:tcW w:type="dxa" w:w="2556"/>
            <w:shd w:fill="17365D"/>
          </w:tcPr>
          <w:p>
            <w:r>
              <w:rPr>
                <w:b/>
                <w:sz w:val="16"/>
              </w:rPr>
              <w:t>Owner</w:t>
            </w:r>
          </w:p>
        </w:tc>
      </w:tr>
      <w:tr>
        <w:tc>
          <w:tcPr>
            <w:tcW w:type="dxa" w:w="2556"/>
            <w:vAlign w:val="top"/>
          </w:tcPr>
          <w:p>
            <w:r>
              <w:rPr>
                <w:sz w:val="16"/>
              </w:rPr>
              <w:t>SAP S/4HANA DEV</w:t>
            </w:r>
          </w:p>
        </w:tc>
        <w:tc>
          <w:tcPr>
            <w:tcW w:type="dxa" w:w="2556"/>
            <w:vAlign w:val="top"/>
          </w:tcPr>
          <w:p>
            <w:r>
              <w:rPr>
                <w:sz w:val="16"/>
              </w:rPr>
              <w:t>DEV</w:t>
            </w:r>
          </w:p>
        </w:tc>
        <w:tc>
          <w:tcPr>
            <w:tcW w:type="dxa" w:w="2556"/>
            <w:vAlign w:val="top"/>
          </w:tcPr>
          <w:p>
            <w:r>
              <w:rPr>
                <w:sz w:val="16"/>
              </w:rPr>
              <w:t>Configuration &amp; development</w:t>
            </w:r>
          </w:p>
        </w:tc>
        <w:tc>
          <w:tcPr>
            <w:tcW w:type="dxa" w:w="2556"/>
            <w:vAlign w:val="top"/>
          </w:tcPr>
          <w:p>
            <w:r>
              <w:rPr>
                <w:sz w:val="16"/>
              </w:rPr>
              <w:t>SAP Basis Lead</w:t>
            </w:r>
          </w:p>
        </w:tc>
      </w:tr>
      <w:tr>
        <w:tc>
          <w:tcPr>
            <w:tcW w:type="dxa" w:w="2556"/>
            <w:vAlign w:val="top"/>
          </w:tcPr>
          <w:p>
            <w:r>
              <w:rPr>
                <w:sz w:val="16"/>
              </w:rPr>
              <w:t>SAP S/4HANA QAS</w:t>
            </w:r>
          </w:p>
        </w:tc>
        <w:tc>
          <w:tcPr>
            <w:tcW w:type="dxa" w:w="2556"/>
            <w:vAlign w:val="top"/>
          </w:tcPr>
          <w:p>
            <w:r>
              <w:rPr>
                <w:sz w:val="16"/>
              </w:rPr>
              <w:t>QAS</w:t>
            </w:r>
          </w:p>
        </w:tc>
        <w:tc>
          <w:tcPr>
            <w:tcW w:type="dxa" w:w="2556"/>
            <w:vAlign w:val="top"/>
          </w:tcPr>
          <w:p>
            <w:r>
              <w:rPr>
                <w:sz w:val="16"/>
              </w:rPr>
              <w:t>Testing / UAT</w:t>
            </w:r>
          </w:p>
        </w:tc>
        <w:tc>
          <w:tcPr>
            <w:tcW w:type="dxa" w:w="2556"/>
            <w:vAlign w:val="top"/>
          </w:tcPr>
          <w:p>
            <w:r>
              <w:rPr>
                <w:sz w:val="16"/>
              </w:rPr>
              <w:t>SAP Basis Lead</w:t>
            </w:r>
          </w:p>
        </w:tc>
      </w:tr>
      <w:tr>
        <w:tc>
          <w:tcPr>
            <w:tcW w:type="dxa" w:w="2556"/>
            <w:vAlign w:val="top"/>
          </w:tcPr>
          <w:p>
            <w:r>
              <w:rPr>
                <w:sz w:val="16"/>
              </w:rPr>
              <w:t>SAP S/4HANA PRD</w:t>
            </w:r>
          </w:p>
        </w:tc>
        <w:tc>
          <w:tcPr>
            <w:tcW w:type="dxa" w:w="2556"/>
            <w:vAlign w:val="top"/>
          </w:tcPr>
          <w:p>
            <w:r>
              <w:rPr>
                <w:sz w:val="16"/>
              </w:rPr>
              <w:t>PRD</w:t>
            </w:r>
          </w:p>
        </w:tc>
        <w:tc>
          <w:tcPr>
            <w:tcW w:type="dxa" w:w="2556"/>
            <w:vAlign w:val="top"/>
          </w:tcPr>
          <w:p>
            <w:r>
              <w:rPr>
                <w:sz w:val="16"/>
              </w:rPr>
              <w:t>Production ERP</w:t>
            </w:r>
          </w:p>
        </w:tc>
        <w:tc>
          <w:tcPr>
            <w:tcW w:type="dxa" w:w="2556"/>
            <w:vAlign w:val="top"/>
          </w:tcPr>
          <w:p>
            <w:r>
              <w:rPr>
                <w:sz w:val="16"/>
              </w:rPr>
              <w:t>Head of IT Applications</w:t>
            </w:r>
          </w:p>
        </w:tc>
      </w:tr>
      <w:tr>
        <w:tc>
          <w:tcPr>
            <w:tcW w:type="dxa" w:w="2556"/>
            <w:vAlign w:val="top"/>
          </w:tcPr>
          <w:p>
            <w:r>
              <w:rPr>
                <w:sz w:val="16"/>
              </w:rPr>
              <w:t>SAP GRC AC</w:t>
            </w:r>
          </w:p>
        </w:tc>
        <w:tc>
          <w:tcPr>
            <w:tcW w:type="dxa" w:w="2556"/>
            <w:vAlign w:val="top"/>
          </w:tcPr>
          <w:p>
            <w:r>
              <w:rPr>
                <w:sz w:val="16"/>
              </w:rPr>
              <w:t>PRD</w:t>
            </w:r>
          </w:p>
        </w:tc>
        <w:tc>
          <w:tcPr>
            <w:tcW w:type="dxa" w:w="2556"/>
            <w:vAlign w:val="top"/>
          </w:tcPr>
          <w:p>
            <w:r>
              <w:rPr>
                <w:sz w:val="16"/>
              </w:rPr>
              <w:t>Access governance</w:t>
            </w:r>
          </w:p>
        </w:tc>
        <w:tc>
          <w:tcPr>
            <w:tcW w:type="dxa" w:w="2556"/>
            <w:vAlign w:val="top"/>
          </w:tcPr>
          <w:p>
            <w:r>
              <w:rPr>
                <w:sz w:val="16"/>
              </w:rPr>
              <w:t>IT Security Manager</w:t>
            </w:r>
          </w:p>
        </w:tc>
      </w:tr>
      <w:tr>
        <w:tc>
          <w:tcPr>
            <w:tcW w:type="dxa" w:w="2556"/>
            <w:vAlign w:val="top"/>
          </w:tcPr>
          <w:p>
            <w:r>
              <w:rPr>
                <w:sz w:val="16"/>
              </w:rPr>
              <w:t>MuleSoft</w:t>
            </w:r>
          </w:p>
        </w:tc>
        <w:tc>
          <w:tcPr>
            <w:tcW w:type="dxa" w:w="2556"/>
            <w:vAlign w:val="top"/>
          </w:tcPr>
          <w:p>
            <w:r>
              <w:rPr>
                <w:sz w:val="16"/>
              </w:rPr>
              <w:t>PRD</w:t>
            </w:r>
          </w:p>
        </w:tc>
        <w:tc>
          <w:tcPr>
            <w:tcW w:type="dxa" w:w="2556"/>
            <w:vAlign w:val="top"/>
          </w:tcPr>
          <w:p>
            <w:r>
              <w:rPr>
                <w:sz w:val="16"/>
              </w:rPr>
              <w:t>Integration</w:t>
            </w:r>
          </w:p>
        </w:tc>
        <w:tc>
          <w:tcPr>
            <w:tcW w:type="dxa" w:w="2556"/>
            <w:vAlign w:val="top"/>
          </w:tcPr>
          <w:p>
            <w:r>
              <w:rPr>
                <w:sz w:val="16"/>
              </w:rPr>
              <w:t>Integration Lead</w:t>
            </w:r>
          </w:p>
        </w:tc>
      </w:tr>
      <w:tr>
        <w:tc>
          <w:tcPr>
            <w:tcW w:type="dxa" w:w="2556"/>
            <w:vAlign w:val="top"/>
          </w:tcPr>
          <w:p>
            <w:r>
              <w:rPr>
                <w:sz w:val="16"/>
              </w:rPr>
              <w:t>Workday</w:t>
            </w:r>
          </w:p>
        </w:tc>
        <w:tc>
          <w:tcPr>
            <w:tcW w:type="dxa" w:w="2556"/>
            <w:vAlign w:val="top"/>
          </w:tcPr>
          <w:p>
            <w:r>
              <w:rPr>
                <w:sz w:val="16"/>
              </w:rPr>
              <w:t>PRD</w:t>
            </w:r>
          </w:p>
        </w:tc>
        <w:tc>
          <w:tcPr>
            <w:tcW w:type="dxa" w:w="2556"/>
            <w:vAlign w:val="top"/>
          </w:tcPr>
          <w:p>
            <w:r>
              <w:rPr>
                <w:sz w:val="16"/>
              </w:rPr>
              <w:t>HR master</w:t>
            </w:r>
          </w:p>
        </w:tc>
        <w:tc>
          <w:tcPr>
            <w:tcW w:type="dxa" w:w="2556"/>
            <w:vAlign w:val="top"/>
          </w:tcPr>
          <w:p>
            <w:r>
              <w:rPr>
                <w:sz w:val="16"/>
              </w:rPr>
              <w:t>HR Director</w:t>
            </w:r>
          </w:p>
        </w:tc>
      </w:tr>
      <w:tr>
        <w:tc>
          <w:tcPr>
            <w:tcW w:type="dxa" w:w="2556"/>
            <w:vAlign w:val="top"/>
          </w:tcPr>
          <w:p>
            <w:r>
              <w:rPr>
                <w:sz w:val="16"/>
              </w:rPr>
              <w:t>Banking Portal</w:t>
            </w:r>
          </w:p>
        </w:tc>
        <w:tc>
          <w:tcPr>
            <w:tcW w:type="dxa" w:w="2556"/>
            <w:vAlign w:val="top"/>
          </w:tcPr>
          <w:p>
            <w:r>
              <w:rPr>
                <w:sz w:val="16"/>
              </w:rPr>
              <w:t>PRD</w:t>
            </w:r>
          </w:p>
        </w:tc>
        <w:tc>
          <w:tcPr>
            <w:tcW w:type="dxa" w:w="2556"/>
            <w:vAlign w:val="top"/>
          </w:tcPr>
          <w:p>
            <w:r>
              <w:rPr>
                <w:sz w:val="16"/>
              </w:rPr>
              <w:t>Payment release</w:t>
            </w:r>
          </w:p>
        </w:tc>
        <w:tc>
          <w:tcPr>
            <w:tcW w:type="dxa" w:w="2556"/>
            <w:vAlign w:val="top"/>
          </w:tcPr>
          <w:p>
            <w:r>
              <w:rPr>
                <w:sz w:val="16"/>
              </w:rPr>
              <w:t>Treasury Manager</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TIB Systems LLC | Corvane Energy Group Training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