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Financial Close &amp; Journal Policy</w:t>
      </w:r>
    </w:p>
    <w:p>
      <w:pPr>
        <w:jc w:val="center"/>
      </w:pPr>
      <w:r>
        <w:rPr>
          <w:i/>
          <w:sz w:val="20"/>
        </w:rPr>
        <w:t>Finance Policy FIN-001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Objective</w:t>
      </w:r>
    </w:p>
    <w:p>
      <w:r>
        <w:t>Ensure period-end reporting and manual journals are complete, accurate, authorized and supported.</w:t>
      </w:r>
    </w:p>
    <w:p>
      <w:pPr>
        <w:pStyle w:val="Heading1"/>
      </w:pPr>
      <w:r>
        <w:t>Requirements</w:t>
      </w:r>
    </w:p>
    <w:p>
      <w:pPr>
        <w:pStyle w:val="ListBullet"/>
      </w:pPr>
      <w:r>
        <w:t>Close calendar assigns tasks and due dates.</w:t>
      </w:r>
    </w:p>
    <w:p>
      <w:pPr>
        <w:pStyle w:val="ListBullet"/>
      </w:pPr>
      <w:r>
        <w:t>Balance-sheet reconciliations are prepared and independently reviewed.</w:t>
      </w:r>
    </w:p>
    <w:p>
      <w:pPr>
        <w:pStyle w:val="ListBullet"/>
      </w:pPr>
      <w:r>
        <w:t>Manual journals contain business purpose and support.</w:t>
      </w:r>
    </w:p>
    <w:p>
      <w:pPr>
        <w:pStyle w:val="ListBullet"/>
      </w:pPr>
      <w:r>
        <w:t>Journals above threshold require independent approval.</w:t>
      </w:r>
    </w:p>
    <w:p>
      <w:pPr>
        <w:pStyle w:val="ListBullet"/>
      </w:pPr>
      <w:r>
        <w:t>Late adjustments and unusual journals receive heightened review.</w:t>
      </w:r>
    </w:p>
    <w:p>
      <w:pPr>
        <w:pStyle w:val="Heading1"/>
      </w:pPr>
      <w:r>
        <w:t>Close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sz w:val="16"/>
              </w:rPr>
              <w:t>Control Area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sz w:val="16"/>
              </w:rPr>
              <w:t>Typical Evidence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Reconciliation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Signed/approved reconciliation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Manual Journal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Journal workflow + support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Close Completion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Close checklist / calendar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Management Review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Variance / flux analysis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