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Navigation Guide — Your Pack and the App, Side by Side</w:t>
      </w:r>
    </w:p>
    <w:p>
      <w:pPr>
        <w:pStyle w:val="Subtitle"/>
      </w:pPr>
      <w:r>
        <w:t xml:space="preserve">Which document, which Book, which screen — session by session</w:t>
      </w:r>
    </w:p>
    <w:p>
      <w:pPr>
        <w:pStyle w:val="Author"/>
      </w:pPr>
      <w:r>
        <w:t xml:space="preserve">SAP SOX / ITGC Controls — Course 1 · Keep this open while you work</w:t>
      </w:r>
    </w:p>
    <w:bookmarkStart w:id="20" w:name="what-this-guide-is-for"/>
    <w:p>
      <w:pPr>
        <w:pStyle w:val="Heading1"/>
      </w:pPr>
      <w:r>
        <w:t xml:space="preserve">What this guide is for</w:t>
      </w:r>
    </w:p>
    <w:p>
      <w:pPr>
        <w:pStyle w:val="FirstParagraph"/>
      </w:pPr>
      <w:r>
        <w:t xml:space="preserve">You have been given three things, and they are meant to be used </w:t>
      </w:r>
      <w:r>
        <w:rPr>
          <w:bCs/>
          <w:b/>
        </w:rPr>
        <w:t xml:space="preserve">together</w:t>
      </w:r>
      <w:r>
        <w:t xml:space="preserve">, not one after the other.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2640"/>
        <w:gridCol w:w="2640"/>
        <w:gridCol w:w="264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</w:pP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it gives you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study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1’s full story, the workpaper standard, and how to use the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52-page PDF in your pack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Reading Packs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reasoning — objective, risk, population, what to conclude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Six Word documents in your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exact screens, transaction codes and clicks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sox-live-job-testing.vercel.app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This guide tells you which of the three to have open, when, and how to line them up.</w:t>
      </w:r>
    </w:p>
    <w:p>
      <w:pPr>
        <w:pStyle w:val="BodyText"/>
      </w:pPr>
      <w:r>
        <w:t xml:space="preserve">Keep it somewhere you can find it. You will use it most in the lab week.</w:t>
      </w:r>
    </w:p>
    <w:p>
      <w:r>
        <w:pict>
          <v:rect style="width:0;height:1.5pt" o:hralign="center" o:hrstd="t" o:hr="t"/>
        </w:pict>
      </w:r>
    </w:p>
    <w:bookmarkEnd w:id="20"/>
    <w:bookmarkStart w:id="21" w:name="X8fde713d107051a6f93b1db12765c69d88275b9"/>
    <w:p>
      <w:pPr>
        <w:pStyle w:val="Heading1"/>
      </w:pPr>
      <w:r>
        <w:t xml:space="preserve">The one rule that makes the app navigable</w:t>
      </w:r>
    </w:p>
    <w:p>
      <w:pPr>
        <w:pStyle w:val="FirstParagraph"/>
      </w:pPr>
      <w:r>
        <w:t xml:space="preserve">Your Reading Packs group Books 1–22 into </w:t>
      </w:r>
      <w:r>
        <w:rPr>
          <w:bCs/>
          <w:b/>
        </w:rPr>
        <w:t xml:space="preserve">three Modules</w:t>
      </w:r>
      <w:r>
        <w:t xml:space="preserve">. The app now groups all 40 Books into </w:t>
      </w:r>
      <w:r>
        <w:rPr>
          <w:bCs/>
          <w:b/>
        </w:rPr>
        <w:t xml:space="preserve">twelve Parts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Module 1 is Part I. Module 2 is Parts II and VI. Module 3 is Parts III, IV and V.</w:t>
      </w:r>
    </w:p>
    <w:p>
      <w:pPr>
        <w:pStyle w:val="BodyText"/>
      </w:pPr>
      <w:r>
        <w:t xml:space="preserve">That covers Books 1–22, the original scope. </w:t>
      </w:r>
      <w:r>
        <w:rPr>
          <w:bCs/>
          <w:b/>
        </w:rPr>
        <w:t xml:space="preserve">Parts VII through XII (Books 23–40) are not yet assigned to a Module or a Reading Pack</w:t>
      </w:r>
      <w:r>
        <w:t xml:space="preserve"> — new Reading Packs covering them are still being built. Until then, use the master map below to find these Books by number and Part; there is no reading-pack guidance for them yet.</w:t>
      </w:r>
    </w:p>
    <w:p>
      <w:r>
        <w:pict>
          <v:rect style="width:0;height:1.5pt" o:hralign="center" o:hrstd="t" o:hr="t"/>
        </w:pict>
      </w:r>
    </w:p>
    <w:bookmarkEnd w:id="21"/>
    <w:bookmarkStart w:id="22" w:name="setting-up-your-two-windows"/>
    <w:p>
      <w:pPr>
        <w:pStyle w:val="Heading1"/>
      </w:pPr>
      <w:r>
        <w:t xml:space="preserve">Setting up your two windows</w:t>
      </w:r>
    </w:p>
    <w:p>
      <w:pPr>
        <w:pStyle w:val="FirstParagraph"/>
      </w:pPr>
      <w:r>
        <w:rPr>
          <w:bCs/>
          <w:b/>
        </w:rPr>
        <w:t xml:space="preserve">Do this once, before the lab week, and never think about it again.</w:t>
      </w:r>
    </w:p>
    <w:p>
      <w:pPr>
        <w:pStyle w:val="BodyText"/>
      </w:pPr>
      <w:r>
        <w:rPr>
          <w:bCs/>
          <w:b/>
        </w:rPr>
        <w:t xml:space="preserve">1. Make your browser window at least 900 pixels wide.</w:t>
      </w:r>
      <w:r>
        <w:t xml:space="preserve"> This matters more than it sounds. Below about 880 pixels the app changes shape — the SAP panel </w:t>
      </w:r>
      <w:r>
        <w:rPr>
          <w:iCs/>
          <w:i/>
        </w:rPr>
        <w:t xml:space="preserve">replaces</w:t>
      </w:r>
      <w:r>
        <w:t xml:space="preserve"> the guide instead of sitting beside it, and two useful buttons disappear entirely.</w:t>
      </w:r>
    </w:p>
    <w:p>
      <w:pPr>
        <w:pStyle w:val="BodyText"/>
      </w:pPr>
      <w:r>
        <w:t xml:space="preserve">On a laptop, that means the browser more or less full width, not half-screen.</w:t>
      </w:r>
    </w:p>
    <w:p>
      <w:pPr>
        <w:pStyle w:val="BodyText"/>
      </w:pPr>
      <w:r>
        <w:rPr>
          <w:bCs/>
          <w:b/>
        </w:rPr>
        <w:t xml:space="preserve">2. In the app, click </w:t>
      </w:r>
      <w:r>
        <w:rPr>
          <w:rStyle w:val="VerbatimChar"/>
          <w:bCs/>
          <w:b/>
        </w:rPr>
        <w:t xml:space="preserve">Open SAP Window</w:t>
      </w:r>
      <w:r>
        <w:rPr>
          <w:bCs/>
          <w:b/>
        </w:rPr>
        <w:t xml:space="preserve">.</w:t>
      </w:r>
      <w:r>
        <w:t xml:space="preserve"> You get the guide on the left and an SAP panel on the right, with a divider you can drag.</w:t>
      </w:r>
    </w:p>
    <w:p>
      <w:pPr>
        <w:pStyle w:val="BodyText"/>
      </w:pPr>
      <w:r>
        <w:rPr>
          <w:bCs/>
          <w:b/>
        </w:rPr>
        <w:t xml:space="preserve">3. Open SAP separately.</w:t>
      </w:r>
      <w:r>
        <w:t xml:space="preserve"> The app does not connect to SAP and never asks for your SAP password.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SAP GUI</w:t>
      </w:r>
      <w:r>
        <w:t xml:space="preserve"> — open SAP Logon from your Start Menu as normal, then snap it beside your browser. Drag its title bar to the screen edge, or press </w:t>
      </w:r>
      <w:r>
        <w:rPr>
          <w:rStyle w:val="VerbatimChar"/>
        </w:rPr>
        <w:t xml:space="preserve">⊞ Win</w:t>
      </w:r>
      <w:r>
        <w:t xml:space="preserve"> and </w:t>
      </w:r>
      <w:r>
        <w:rPr>
          <w:rStyle w:val="VerbatimChar"/>
        </w:rPr>
        <w:t xml:space="preserve">←</w:t>
      </w:r>
      <w:r>
        <w:t xml:space="preserve"> or </w:t>
      </w:r>
      <w:r>
        <w:rPr>
          <w:rStyle w:val="VerbatimChar"/>
        </w:rPr>
        <w:t xml:space="preserve">→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Fiori or WebGUI</w:t>
      </w:r>
      <w:r>
        <w:t xml:space="preserve"> — paste your Launchpad URL into the app’s Browser tab. If the panel stays blank, use </w:t>
      </w:r>
      <w:r>
        <w:rPr>
          <w:rStyle w:val="VerbatimChar"/>
        </w:rPr>
        <w:t xml:space="preserve">Open in New Tab</w:t>
      </w:r>
      <w:r>
        <w:t xml:space="preserve"> instead. Most production systems block embedding.</w:t>
      </w:r>
    </w:p>
    <w:p>
      <w:pPr>
        <w:pStyle w:val="FirstParagraph"/>
      </w:pPr>
      <w:r>
        <w:rPr>
          <w:bCs/>
          <w:b/>
        </w:rPr>
        <w:t xml:space="preserve">4. Two monitors?</w:t>
      </w:r>
      <w:r>
        <w:t xml:space="preserve"> Guide on one, SAP on the other. Easiest arrangement by a distance.</w:t>
      </w:r>
    </w:p>
    <w:p>
      <w:r>
        <w:pict>
          <v:rect style="width:0;height:1.5pt" o:hralign="center" o:hrstd="t" o:hr="t"/>
        </w:pict>
      </w:r>
    </w:p>
    <w:bookmarkEnd w:id="22"/>
    <w:bookmarkStart w:id="23" w:name="the-master-map-all-22-books"/>
    <w:p>
      <w:pPr>
        <w:pStyle w:val="Heading1"/>
      </w:pPr>
      <w:r>
        <w:t xml:space="preserve">The master map — all 40 Books</w:t>
      </w:r>
    </w:p>
    <w:p>
      <w:pPr>
        <w:pStyle w:val="FirstParagraph"/>
      </w:pPr>
      <w:r>
        <w:t xml:space="preserve">Use this to find any Book in either system.</w:t>
      </w:r>
    </w:p>
    <w:p>
      <w:pPr>
        <w:pStyle w:val="BodyText"/>
      </w:pPr>
      <w:r>
        <w:rPr>
          <w:bCs/>
          <w:b/>
        </w:rPr>
        <w:t xml:space="preserve">The “App position” column is what the app’s counter shows.</w:t>
      </w:r>
      <w:r>
        <w:t xml:space="preserve"> It is not the Book number. Use it to locate a Book by scrolling; use the Book number for everything else.</w:t>
      </w:r>
    </w:p>
    <w:tbl>
      <w:tblPr>
        <w:tblStyle w:val="Table"/>
        <w:tblW w:type="auto" w:w="0"/>
        <w:tblLook w:firstRow="1" w:lastRow="0" w:firstColumn="0" w:lastColumn="0" w:noHBand="0" w:noVBand="1" w:val="04A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Book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Title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Module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 Part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 position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Reading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Access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· 4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Next Badge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Fourth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Tile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Firefighter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· 4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Leaver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 ·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Emergency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· 5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Cutover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Third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Untested Backup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 ·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· 5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Back Door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Approval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· 6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Other Ledger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Tip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Rule That Never Fired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 ·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Risk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Signature Page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Comment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Four-Day Clock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 ·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Retention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Indirect Access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Match That Wasn't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File That Left Twice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Bank Detail Nobody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Tolerance That Swallowed It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 That Stopped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Depreciation That Kept Running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Held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Early Invoice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VIII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Uncleared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Rate That Didn't Update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Other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Spreadsheet That Found It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Recommendation Nobody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Map Before the Testing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XI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Control That Was Never Built to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How Many Is Enough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XI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Kind of Finding Is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Control That Moved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XII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Bold Books are anchors</w:t>
      </w:r>
      <w:r>
        <w:t xml:space="preserve"> — taught at full depth in class and demonstrated live in the lab. The other thirteen are extensions, covered on what differs.</w:t>
      </w:r>
    </w:p>
    <w:p>
      <w:pPr>
        <w:pStyle w:val="BodyText"/>
      </w:pPr>
      <w:r>
        <w:rPr>
          <w:bCs/>
          <w:b/>
        </w:rPr>
        <w:t xml:space="preserve">Two things this table makes obvious.</w:t>
      </w:r>
    </w:p>
    <w:p>
      <w:pPr>
        <w:pStyle w:val="BodyText"/>
      </w:pPr>
      <w:r>
        <w:rPr>
          <w:bCs/>
          <w:b/>
        </w:rPr>
        <w:t xml:space="preserve">Book numbers jump inside every Part.</w:t>
      </w:r>
      <w:r>
        <w:t xml:space="preserve"> Part I runs 01, 04, 07, 13, 16, 17. That is not a mistake — the Books are numbered by the order of the story series, and grouped by control domain.</w:t>
      </w:r>
    </w:p>
    <w:p>
      <w:pPr>
        <w:pStyle w:val="BodyText"/>
      </w:pPr>
      <w:r>
        <w:rPr>
          <w:bCs/>
          <w:b/>
        </w:rPr>
        <w:t xml:space="preserve">Part VI is at the very bottom of the Contents panel</w:t>
      </w:r>
      <w:r>
        <w:t xml:space="preserve"> and is easy to miss. It holds Books 21 and 22. Scroll down.</w:t>
      </w:r>
    </w:p>
    <w:p>
      <w:r>
        <w:pict>
          <v:rect style="width:0;height:1.5pt" o:hralign="center" o:hrstd="t" o:hr="t"/>
        </w:pict>
      </w:r>
    </w:p>
    <w:bookmarkEnd w:id="23"/>
    <w:p>
      <w:pPr>
        <w:pStyle w:val="BodyText"/>
      </w:pPr>
      <w:r>
        <w:rPr>
          <w:bCs/>
          <w:b/>
          <w:i/>
          <w:iCs/>
        </w:rPr>
        <w:t xml:space="preserve">Note: the session content below (theory and lab sessions) still reflects the original 22-Book cohort format and its specific dates have been removed. It has not yet been updated for the 40-Book curriculum or mapped to the current rolling monthly-cohort schedule.</w:t>
      </w:r>
    </w:p>
    <w:bookmarkStart w:id="26" w:name="week-one-theory-14-16-and-18-september"/>
    <w:p>
      <w:pPr>
        <w:pStyle w:val="Heading1"/>
      </w:pPr>
      <w:r>
        <w:t xml:space="preserve">Theory sessions</w:t>
      </w:r>
    </w:p>
    <w:bookmarkStart w:id="24" w:name="keep-the-app-closed"/>
    <w:p>
      <w:pPr>
        <w:pStyle w:val="Heading2"/>
      </w:pPr>
      <w:r>
        <w:t xml:space="preserve">Keep the app closed</w:t>
      </w:r>
    </w:p>
    <w:p>
      <w:pPr>
        <w:pStyle w:val="FirstParagraph"/>
      </w:pPr>
      <w:r>
        <w:rPr>
          <w:bCs/>
          <w:b/>
        </w:rPr>
        <w:t xml:space="preserve">This will feel wrong, and it is deliberate.</w:t>
      </w:r>
    </w:p>
    <w:p>
      <w:pPr>
        <w:pStyle w:val="BodyText"/>
      </w:pPr>
      <w:r>
        <w:t xml:space="preserve">Theory sessions are about reasoning: what the control is for, what could go wrong, what population you would need. The whole method rests on one rule — </w:t>
      </w:r>
      <w:r>
        <w:rPr>
          <w:bCs/>
          <w:b/>
        </w:rPr>
        <w:t xml:space="preserve">never begin with a transaction code.</w:t>
      </w:r>
    </w:p>
    <w:p>
      <w:pPr>
        <w:pStyle w:val="BodyText"/>
      </w:pPr>
      <w:r>
        <w:t xml:space="preserve">If you open the execution steps before you have reasoned about a Book, you will arrive in class already anchored on a screen, and the reasoning becomes something you skip rather than something you do.</w:t>
      </w:r>
    </w:p>
    <w:p>
      <w:pPr>
        <w:pStyle w:val="BodyText"/>
      </w:pPr>
      <w:r>
        <w:rPr>
          <w:bCs/>
          <w:b/>
        </w:rPr>
        <w:t xml:space="preserve">So during theory sessions: read your Reading Pack and your study guide. Leave the app alone.</w:t>
      </w:r>
    </w:p>
    <w:p>
      <w:pPr>
        <w:pStyle w:val="BodyText"/>
      </w:pPr>
      <w:r>
        <w:t xml:space="preserve">There is one exception, and your facilitator will run it live in Session 2 so everyone sees it together.</w:t>
      </w:r>
    </w:p>
    <w:bookmarkEnd w:id="24"/>
    <w:bookmarkStart w:id="25" w:name="session-by-session"/>
    <w:p>
      <w:pPr>
        <w:pStyle w:val="Heading2"/>
      </w:pPr>
      <w:r>
        <w:t xml:space="preserve">Session by session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2640"/>
        <w:gridCol w:w="2640"/>
        <w:gridCol w:w="264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Session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Read before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 14 Sep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Study guide Part 1</w:t>
            </w:r>
            <w:r>
              <w:t xml:space="preserve"> — Book 1’s full story, ~25 pages. Then Reading Pack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+ study guide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Wed 16 Sep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Reading Pack 2 — Book 2 in full, plus seven in brief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Fri 18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Pack 3 — Book 3 in full, plus seven in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Monday, read the study guide first and the Reading Pack second.</w:t>
      </w:r>
      <w:r>
        <w:t xml:space="preserve"> Pack 1 assumes you have read Part 1 — it gives you what to notice, not the story itself.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week-two-the-lab-21-23-and-25-september"/>
    <w:p>
      <w:pPr>
        <w:pStyle w:val="Heading1"/>
      </w:pPr>
      <w:r>
        <w:t xml:space="preserve">Lab sessions</w:t>
      </w:r>
    </w:p>
    <w:p>
      <w:pPr>
        <w:pStyle w:val="FirstParagraph"/>
      </w:pPr>
      <w:r>
        <w:rPr>
          <w:bCs/>
          <w:b/>
        </w:rPr>
        <w:t xml:space="preserve">Now the app is open the whole time.</w:t>
      </w:r>
      <w:r>
        <w:t xml:space="preserve"> Every session is one hour of demonstration and one hour of you driving.</w:t>
      </w:r>
    </w:p>
    <w:bookmarkStart w:id="27" w:name="how-each-session-works"/>
    <w:p>
      <w:pPr>
        <w:pStyle w:val="Heading2"/>
      </w:pPr>
      <w:r>
        <w:t xml:space="preserve">How each session works</w:t>
      </w:r>
    </w:p>
    <w:p>
      <w:pPr>
        <w:pStyle w:val="FirstParagraph"/>
      </w:pPr>
      <w:r>
        <w:rPr>
          <w:bCs/>
          <w:b/>
        </w:rPr>
        <w:t xml:space="preserve">Before the session:</w:t>
      </w:r>
      <w:r>
        <w:t xml:space="preserve"> read the Reading Pack. About 45 minutes. It tells you the objective, the population and what a reviewer will ask — none of which is in the app.</w:t>
      </w:r>
    </w:p>
    <w:p>
      <w:pPr>
        <w:pStyle w:val="BodyText"/>
      </w:pPr>
      <w:r>
        <w:rPr>
          <w:bCs/>
          <w:b/>
        </w:rPr>
        <w:t xml:space="preserve">During hour one:</w:t>
      </w:r>
      <w:r>
        <w:t xml:space="preserve"> the facilitator drives. Follow along in the app if you like, but do not try to keep up on your own keyboard.</w:t>
      </w:r>
    </w:p>
    <w:p>
      <w:pPr>
        <w:pStyle w:val="BodyText"/>
      </w:pPr>
      <w:r>
        <w:rPr>
          <w:bCs/>
          <w:b/>
        </w:rPr>
        <w:t xml:space="preserve">During hour two:</w:t>
      </w:r>
      <w:r>
        <w:t xml:space="preserve"> you drive. </w:t>
      </w:r>
      <w:r>
        <w:rPr>
          <w:bCs/>
          <w:b/>
        </w:rPr>
        <w:t xml:space="preserve">Have the app open on the left, SAP on the right, and your Reading Pack in a third window or printed.</w:t>
      </w:r>
    </w:p>
    <w:bookmarkEnd w:id="27"/>
    <w:bookmarkStart w:id="28" w:name="monday-21-september-module-1"/>
    <w:p>
      <w:pPr>
        <w:pStyle w:val="Heading2"/>
      </w:pPr>
      <w:r>
        <w:t xml:space="preserve">Monday 21 September — Module 1</w:t>
      </w:r>
    </w:p>
    <w:p>
      <w:pPr>
        <w:pStyle w:val="FirstParagraph"/>
      </w:pPr>
      <w:r>
        <w:rPr>
          <w:bCs/>
          <w:b/>
        </w:rPr>
        <w:t xml:space="preserve">Read first:</w:t>
      </w:r>
      <w:r>
        <w:t xml:space="preserve"> Reading Pack 4</w:t>
      </w:r>
    </w:p>
    <w:tbl>
      <w:tblPr>
        <w:tblStyle w:val="Table"/>
        <w:tblW w:type="auto" w:w="0"/>
        <w:tblLook w:firstRow="1" w:lastRow="0" w:firstColumn="0" w:lastColumn="0" w:noHBand="0" w:noVBand="1" w:val="04A0"/>
        <w:jc w:val="start"/>
      </w:tblPr>
      <w:tblGrid>
        <w:gridCol w:w="1980"/>
        <w:gridCol w:w="1980"/>
        <w:gridCol w:w="1980"/>
        <w:gridCol w:w="198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Order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Book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Find it at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 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01</w:t>
            </w:r>
            <w:r>
              <w:t xml:space="preserve"> — The Access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16</w:t>
            </w:r>
            <w:r>
              <w:t xml:space="preserve"> — The Firefighter Log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5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17</w:t>
            </w:r>
            <w:r>
              <w:t xml:space="preserve"> — The Leaver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three are in Part I.</w:t>
      </w:r>
      <w:r>
        <w:t xml:space="preserve"> Expand Part I in the Contents panel and they are the 1st, 5th and 6th items.</w:t>
      </w:r>
    </w:p>
    <w:p>
      <w:pPr>
        <w:pStyle w:val="BodyText"/>
      </w:pPr>
      <w:r>
        <w:rPr>
          <w:bCs/>
          <w:b/>
        </w:rPr>
        <w:t xml:space="preserve">Your deliverable:</w:t>
      </w:r>
      <w:r>
        <w:t xml:space="preserve"> the Book 17 workpaper, due before Wednesday.</w:t>
      </w:r>
    </w:p>
    <w:bookmarkEnd w:id="28"/>
    <w:bookmarkStart w:id="29" w:name="wednesday-23-september-module-2"/>
    <w:p>
      <w:pPr>
        <w:pStyle w:val="Heading2"/>
      </w:pPr>
      <w:r>
        <w:t xml:space="preserve">Wednesday 23 September — Module 2</w:t>
      </w:r>
    </w:p>
    <w:p>
      <w:pPr>
        <w:pStyle w:val="FirstParagraph"/>
      </w:pPr>
      <w:r>
        <w:rPr>
          <w:bCs/>
          <w:b/>
        </w:rPr>
        <w:t xml:space="preserve">Read first:</w:t>
      </w:r>
      <w:r>
        <w:t xml:space="preserve"> Reading Pack 5</w:t>
      </w:r>
    </w:p>
    <w:tbl>
      <w:tblPr>
        <w:tblStyle w:val="Table"/>
        <w:tblW w:type="auto" w:w="0"/>
        <w:tblLook w:firstRow="1" w:lastRow="0" w:firstColumn="0" w:lastColumn="0" w:noHBand="0" w:noVBand="1" w:val="04A0"/>
        <w:jc w:val="start"/>
      </w:tblPr>
      <w:tblGrid>
        <w:gridCol w:w="1980"/>
        <w:gridCol w:w="1980"/>
        <w:gridCol w:w="1980"/>
        <w:gridCol w:w="198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Order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Book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Find it at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 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02</w:t>
            </w:r>
            <w:r>
              <w:t xml:space="preserve"> — The Emergency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18</w:t>
            </w:r>
            <w:r>
              <w:t xml:space="preserve"> — The Untested Backup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10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19</w:t>
            </w:r>
            <w:r>
              <w:t xml:space="preserve"> — The Interface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three are in Part II</w:t>
      </w:r>
      <w:r>
        <w:t xml:space="preserve">, the 1st, 4th and 5th items in it.</w:t>
      </w:r>
    </w:p>
    <w:p>
      <w:pPr>
        <w:pStyle w:val="BodyText"/>
      </w:pPr>
      <w:r>
        <w:rPr>
          <w:bCs/>
          <w:b/>
        </w:rPr>
        <w:t xml:space="preserve">Your deliverable:</w:t>
      </w:r>
      <w:r>
        <w:t xml:space="preserve"> the Book 2 workpaper, due before Friday.</w:t>
      </w:r>
    </w:p>
    <w:bookmarkEnd w:id="29"/>
    <w:bookmarkStart w:id="30" w:name="friday-25-september-module-3"/>
    <w:p>
      <w:pPr>
        <w:pStyle w:val="Heading2"/>
      </w:pPr>
      <w:r>
        <w:t xml:space="preserve">Friday 25 September — Module 3</w:t>
      </w:r>
    </w:p>
    <w:p>
      <w:pPr>
        <w:pStyle w:val="FirstParagraph"/>
      </w:pPr>
      <w:r>
        <w:rPr>
          <w:bCs/>
          <w:b/>
        </w:rPr>
        <w:t xml:space="preserve">Read first:</w:t>
      </w:r>
      <w:r>
        <w:t xml:space="preserve"> Reading Pack 6</w:t>
      </w:r>
    </w:p>
    <w:tbl>
      <w:tblPr>
        <w:tblStyle w:val="Table"/>
        <w:tblW w:type="auto" w:w="0"/>
        <w:tblLook w:firstRow="1" w:lastRow="0" w:firstColumn="0" w:lastColumn="0" w:noHBand="0" w:noVBand="1" w:val="04A0"/>
        <w:jc w:val="start"/>
      </w:tblPr>
      <w:tblGrid>
        <w:gridCol w:w="1980"/>
        <w:gridCol w:w="1980"/>
        <w:gridCol w:w="1980"/>
        <w:gridCol w:w="198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Order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Book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Find it at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 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03</w:t>
            </w:r>
            <w:r>
              <w:t xml:space="preserve"> — The Approval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14</w:t>
            </w:r>
            <w:r>
              <w:t xml:space="preserve"> — The Rule That Never Fired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16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12</w:t>
            </w:r>
            <w:r>
              <w:t xml:space="preserve"> — The Four-Day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</w:t>
            </w: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These three are in three different Parts.</w:t>
      </w:r>
      <w:r>
        <w:t xml:space="preserve"> Book 3 is the first item in Part III, Book 14 the first in Part IV, and Book 12 the last in Part V.</w:t>
      </w:r>
    </w:p>
    <w:p>
      <w:pPr>
        <w:pStyle w:val="BodyText"/>
      </w:pPr>
      <w:r>
        <w:rPr>
          <w:bCs/>
          <w:b/>
        </w:rPr>
        <w:t xml:space="preserve">Your deliverable:</w:t>
      </w:r>
      <w:r>
        <w:t xml:space="preserve"> the Book 3 workpaper, due within a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reading-a-book-page-alongside-your-pack"/>
    <w:p>
      <w:pPr>
        <w:pStyle w:val="Heading1"/>
      </w:pPr>
      <w:r>
        <w:t xml:space="preserve">Reading a Book page alongside your pack</w:t>
      </w:r>
    </w:p>
    <w:p>
      <w:pPr>
        <w:pStyle w:val="FirstParagraph"/>
      </w:pPr>
      <w:r>
        <w:t xml:space="preserve">A Book page in the app has four sections. Here is what each one is, and what your Reading Pack adds to it.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2640"/>
        <w:gridCol w:w="2640"/>
        <w:gridCol w:w="264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 section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it gives you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your pack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SCENARIO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task, in one paragraph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</w:t>
            </w:r>
            <w:r>
              <w:rPr>
                <w:bCs/>
                <w:b/>
              </w:rPr>
              <w:t xml:space="preserve">control objective</w:t>
            </w:r>
            <w:r>
              <w:t xml:space="preserve"> and the </w:t>
            </w:r>
            <w:r>
              <w:rPr>
                <w:bCs/>
                <w:b/>
              </w:rPr>
              <w:t xml:space="preserve">business risk</w:t>
            </w:r>
            <w:r>
              <w:t xml:space="preserve"> — what this is for, and what could go wrong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EXECUTION STEPS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exact screens, T-codes and clicks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population</w:t>
            </w:r>
            <w:r>
              <w:t xml:space="preserve"> — the complete set the control should have operated over, and how you know it’s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EXHIBIT — EVIDENCE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evidence to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it goes</w:t>
            </w:r>
            <w:r>
              <w:t xml:space="preserve"> — your workpaper. The app cannot store it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CAUTION</w:t>
            </w:r>
            <w:r>
              <w:t xml:space="preserve"> </w:t>
            </w:r>
            <w:r>
              <w:rPr>
                <w:iCs/>
                <w:i/>
              </w:rPr>
              <w:t xml:space="preserve">(on most Books)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trap on that Book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</w:t>
            </w:r>
            <w:r>
              <w:rPr>
                <w:bCs/>
                <w:b/>
              </w:rPr>
              <w:t xml:space="preserve">deliberate mistakes</w:t>
            </w:r>
            <w:r>
              <w:t xml:space="preserve"> your facilitator will make on screen, and what a reviewer will ask you afterwards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to conclude, and in what words.</w:t>
            </w:r>
            <w:r>
              <w:t xml:space="preserve"> The app has no conclusion field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 in this order, every time:</w:t>
      </w:r>
    </w:p>
    <w:p>
      <w:pPr>
        <w:pStyle w:val="BodyText"/>
      </w:pPr>
      <w:r>
        <w:rPr>
          <w:bCs/>
          <w:b/>
        </w:rPr>
        <w:t xml:space="preserve">1. Read the pack section for that Book.</w:t>
      </w:r>
      <w:r>
        <w:t xml:space="preserve"> Objective, risk, population.</w:t>
      </w:r>
    </w:p>
    <w:p>
      <w:pPr>
        <w:pStyle w:val="BodyText"/>
      </w:pPr>
      <w:r>
        <w:rPr>
          <w:bCs/>
          <w:b/>
        </w:rPr>
        <w:t xml:space="preserve">2. Fill in your Planning Card</w:t>
      </w:r>
      <w:r>
        <w:t xml:space="preserve">, at least fields 1 to 6. Do this before you open the app.</w:t>
      </w:r>
    </w:p>
    <w:p>
      <w:pPr>
        <w:pStyle w:val="BodyText"/>
      </w:pPr>
      <w:r>
        <w:rPr>
          <w:bCs/>
          <w:b/>
        </w:rPr>
        <w:t xml:space="preserve">3. Then open the Book in the app</w:t>
      </w:r>
      <w:r>
        <w:t xml:space="preserve"> and work the execution steps.</w:t>
      </w:r>
    </w:p>
    <w:p>
      <w:pPr>
        <w:pStyle w:val="BodyText"/>
      </w:pPr>
      <w:r>
        <w:rPr>
          <w:bCs/>
          <w:b/>
        </w:rPr>
        <w:t xml:space="preserve">4. Capture evidence as you go</w:t>
      </w:r>
      <w:r>
        <w:t xml:space="preserve"> — into your workpaper, not the app.</w:t>
      </w:r>
    </w:p>
    <w:p>
      <w:pPr>
        <w:pStyle w:val="BodyText"/>
      </w:pPr>
      <w:r>
        <w:rPr>
          <w:bCs/>
          <w:b/>
        </w:rPr>
        <w:t xml:space="preserve">5. Write your conclusion</w:t>
      </w:r>
      <w:r>
        <w:t xml:space="preserve"> in your own words, before anyone tells you what to think.</w:t>
      </w:r>
    </w:p>
    <w:p>
      <w:pPr>
        <w:pStyle w:val="BodyText"/>
      </w:pPr>
      <w:r>
        <w:rPr>
          <w:bCs/>
          <w:b/>
        </w:rPr>
        <w:t xml:space="preserve">Steps 1 and 2 are what the app cannot do for you.</w:t>
      </w:r>
      <w:r>
        <w:t xml:space="preserve"> If you skip them you will run the right screens and produce nothing anyone can rely on.</w:t>
      </w:r>
    </w:p>
    <w:p>
      <w:r>
        <w:pict>
          <v:rect style="width:0;height:1.5pt" o:hralign="center" o:hrstd="t" o:hr="t"/>
        </w:pict>
      </w:r>
    </w:p>
    <w:bookmarkEnd w:id="32"/>
    <w:bookmarkStart w:id="36" w:name="X3a8f364133b1dde6e2f76d24ba4db527e7286c1"/>
    <w:p>
      <w:pPr>
        <w:pStyle w:val="Heading1"/>
      </w:pPr>
      <w:r>
        <w:t xml:space="preserve">Three things about the app that will trip you</w:t>
      </w:r>
    </w:p>
    <w:bookmarkStart w:id="33" w:name="the-counter-is-not-the-book-number"/>
    <w:p>
      <w:pPr>
        <w:pStyle w:val="Heading2"/>
      </w:pPr>
      <w:r>
        <w:t xml:space="preserve">1. The counter is not the Book number</w:t>
      </w:r>
    </w:p>
    <w:p>
      <w:pPr>
        <w:pStyle w:val="FirstParagraph"/>
      </w:pPr>
      <w:r>
        <w:t xml:space="preserve">Top right of a Book page you will see something like </w:t>
      </w:r>
      <w:r>
        <w:rPr>
          <w:rStyle w:val="VerbatimChar"/>
        </w:rPr>
        <w:t xml:space="preserve">BOOK 2 OF 22</w:t>
      </w:r>
      <w:r>
        <w:t xml:space="preserve">. That is the Book’s </w:t>
      </w:r>
      <w:r>
        <w:rPr>
          <w:bCs/>
          <w:b/>
        </w:rPr>
        <w:t xml:space="preserve">position in the app’s sequence</w:t>
      </w:r>
      <w:r>
        <w:t xml:space="preserve">.</w:t>
      </w:r>
    </w:p>
    <w:p>
      <w:pPr>
        <w:pStyle w:val="BodyText"/>
      </w:pPr>
      <w:r>
        <w:t xml:space="preserve">The header immediately above it — </w:t>
      </w:r>
      <w:r>
        <w:rPr>
          <w:rStyle w:val="VerbatimChar"/>
        </w:rPr>
        <w:t xml:space="preserve">Book 04 — Field Manual</w:t>
      </w:r>
      <w:r>
        <w:t xml:space="preserve"> — has the real number.</w:t>
      </w:r>
    </w:p>
    <w:p>
      <w:pPr>
        <w:pStyle w:val="BodyText"/>
      </w:pPr>
      <w:r>
        <w:rPr>
          <w:bCs/>
          <w:b/>
        </w:rPr>
        <w:t xml:space="preserve">They disagree on nineteen of the twenty-two Books.</w:t>
      </w:r>
      <w:r>
        <w:t xml:space="preserve"> Every course document, every workpaper and every instruction from your facilitator uses the </w:t>
      </w:r>
      <w:r>
        <w:rPr>
          <w:bCs/>
          <w:b/>
        </w:rPr>
        <w:t xml:space="preserve">Book number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Go by the header. Use the position only to find things.</w:t>
      </w:r>
      <w:r>
        <w:t xml:space="preserve"> The master map above gives you both.</w:t>
      </w:r>
    </w:p>
    <w:bookmarkEnd w:id="33"/>
    <w:bookmarkStart w:id="34" w:name="Xad66b9d5d0620d07243310c9c9ce0538eb7efac"/>
    <w:p>
      <w:pPr>
        <w:pStyle w:val="Heading2"/>
      </w:pPr>
      <w:r>
        <w:t xml:space="preserve">2. Nothing you do in the app is saved except which Books you finished</w:t>
      </w:r>
    </w:p>
    <w:p>
      <w:pPr>
        <w:pStyle w:val="FirstParagraph"/>
      </w:pPr>
      <w:r>
        <w:t xml:space="preserve">The </w:t>
      </w:r>
      <w:r>
        <w:rPr>
          <w:rStyle w:val="VerbatimChar"/>
        </w:rPr>
        <w:t xml:space="preserve">📷 Not yet captured</w:t>
      </w:r>
      <w:r>
        <w:t xml:space="preserve"> slot beside each step </w:t>
      </w:r>
      <w:r>
        <w:rPr>
          <w:bCs/>
          <w:b/>
        </w:rPr>
        <w:t xml:space="preserve">is a caption, not a button.</w:t>
      </w:r>
      <w:r>
        <w:t xml:space="preserve"> There is no upload, no attachment, and no export of any kind.</w:t>
      </w:r>
    </w:p>
    <w:p>
      <w:pPr>
        <w:pStyle w:val="BodyText"/>
      </w:pPr>
      <w:r>
        <w:rPr>
          <w:bCs/>
          <w:b/>
        </w:rPr>
        <w:t xml:space="preserve">Every screenshot and every export goes into your own workpaper.</w:t>
      </w:r>
      <w:r>
        <w:t xml:space="preserve"> The app records that you finished a Book, and nothing else.</w:t>
      </w:r>
    </w:p>
    <w:bookmarkEnd w:id="34"/>
    <w:bookmarkStart w:id="35" w:name="the-bottom-right-arrow-finishes-the-book"/>
    <w:p>
      <w:pPr>
        <w:pStyle w:val="Heading2"/>
      </w:pPr>
      <w:r>
        <w:t xml:space="preserve">3. The bottom-right arrow finishes the Book</w:t>
      </w:r>
    </w:p>
    <w:p>
      <w:pPr>
        <w:pStyle w:val="FirstParagraph"/>
      </w:pPr>
      <w:r>
        <w:t xml:space="preserve">At the bottom of a Book page there is a </w:t>
      </w:r>
      <w:r>
        <w:rPr>
          <w:rStyle w:val="VerbatimChar"/>
        </w:rPr>
        <w:t xml:space="preserve">◀</w:t>
      </w:r>
      <w:r>
        <w:t xml:space="preserve"> and two </w:t>
      </w:r>
      <w:r>
        <w:rPr>
          <w:rStyle w:val="VerbatimChar"/>
        </w:rPr>
        <w:t xml:space="preserve">▶</w:t>
      </w:r>
      <w:r>
        <w:t xml:space="preserve"> arrows. The last one is </w:t>
      </w:r>
      <w:r>
        <w:rPr>
          <w:bCs/>
          <w:b/>
        </w:rPr>
        <w:t xml:space="preserve">“Finish this Book”</w:t>
      </w:r>
      <w:r>
        <w:t xml:space="preserve">, not “Next” — and it looks identical to a next control.</w:t>
      </w:r>
    </w:p>
    <w:p>
      <w:pPr>
        <w:pStyle w:val="BodyText"/>
      </w:pPr>
      <w:r>
        <w:rPr>
          <w:bCs/>
          <w:b/>
        </w:rPr>
        <w:t xml:space="preserve">Clicking it marks the Book complete.</w:t>
      </w:r>
      <w:r>
        <w:t xml:space="preserve"> Use the Contents panel to move between Books instead.</w:t>
      </w:r>
    </w:p>
    <w:p>
      <w:pPr>
        <w:pStyle w:val="BodyText"/>
      </w:pPr>
      <w:r>
        <w:t xml:space="preserve">The orange </w:t>
      </w:r>
      <w:r>
        <w:rPr>
          <w:rStyle w:val="VerbatimChar"/>
        </w:rPr>
        <w:t xml:space="preserve">▶</w:t>
      </w:r>
      <w:r>
        <w:t xml:space="preserve"> in the middle is </w:t>
      </w:r>
      <w:r>
        <w:rPr>
          <w:bCs/>
          <w:b/>
        </w:rPr>
        <w:t xml:space="preserve">Play narration</w:t>
      </w:r>
      <w:r>
        <w:t xml:space="preserve">, which reads the Book aloud and advances on its own.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f-you-cannot-find-something"/>
    <w:p>
      <w:pPr>
        <w:pStyle w:val="Heading1"/>
      </w:pPr>
      <w:r>
        <w:t xml:space="preserve">If you cannot find something</w:t>
      </w:r>
    </w:p>
    <w:p>
      <w:pPr>
        <w:pStyle w:val="FirstParagraph"/>
      </w:pPr>
      <w:r>
        <w:rPr>
          <w:bCs/>
          <w:b/>
        </w:rPr>
        <w:t xml:space="preserve">“The app shows a different number from my Reading Pack.”</w:t>
      </w:r>
      <w:r>
        <w:t xml:space="preserve"> Expected. Use the master map — the Book number is what everything else uses.</w:t>
      </w:r>
    </w:p>
    <w:p>
      <w:pPr>
        <w:pStyle w:val="BodyText"/>
      </w:pPr>
      <w:r>
        <w:rPr>
          <w:bCs/>
          <w:b/>
        </w:rPr>
        <w:t xml:space="preserve">“I can only find five Parts.”</w:t>
      </w:r>
      <w:r>
        <w:t xml:space="preserve"> There are six. Part VI, </w:t>
      </w:r>
      <w:r>
        <w:rPr>
          <w:iCs/>
          <w:i/>
        </w:rPr>
        <w:t xml:space="preserve">Legal &amp; Compliance Adjacent Scope</w:t>
      </w:r>
      <w:r>
        <w:t xml:space="preserve">, is below the fold at the bottom of the Contents panel. It holds Books 21 and 22.</w:t>
      </w:r>
    </w:p>
    <w:p>
      <w:pPr>
        <w:pStyle w:val="BodyText"/>
      </w:pPr>
      <w:r>
        <w:rPr>
          <w:bCs/>
          <w:b/>
        </w:rPr>
        <w:t xml:space="preserve">“The Contents panel keeps collapsing.”</w:t>
      </w:r>
      <w:r>
        <w:t xml:space="preserve"> It re-collapses every Part except the one you are in. Re-expand and carry on.</w:t>
      </w:r>
    </w:p>
    <w:p>
      <w:pPr>
        <w:pStyle w:val="BodyText"/>
      </w:pPr>
      <w:r>
        <w:rPr>
          <w:bCs/>
          <w:b/>
        </w:rPr>
        <w:t xml:space="preserve">“The SAP panel is blank.”</w:t>
      </w:r>
      <w:r>
        <w:t xml:space="preserve"> Two possible reasons. Your window is under 880 pixels wide, so the layout has changed shape — widen it. Or your Fiori system blocks embedding, in which case use </w:t>
      </w:r>
      <w:r>
        <w:rPr>
          <w:rStyle w:val="VerbatimChar"/>
        </w:rPr>
        <w:t xml:space="preserve">Open in New Tab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“I can’t get SAP GUI into the app.”</w:t>
      </w:r>
      <w:r>
        <w:t xml:space="preserve"> You can’t, and it isn’t you. SAP GUI is a Windows program, not a webpage. Snap it beside your browser instead.</w:t>
      </w:r>
    </w:p>
    <w:p>
      <w:pPr>
        <w:pStyle w:val="BodyText"/>
      </w:pPr>
      <w:r>
        <w:rPr>
          <w:bCs/>
          <w:b/>
        </w:rPr>
        <w:t xml:space="preserve">“The expanded direction doesn’t make sense.”</w:t>
      </w:r>
      <w:r>
        <w:t xml:space="preserve"> Known issue — the expand feature sometimes splits sentences badly and produces fragments. </w:t>
      </w:r>
      <w:r>
        <w:rPr>
          <w:bCs/>
          <w:b/>
        </w:rPr>
        <w:t xml:space="preserve">Read the bracketed </w:t>
      </w:r>
      <w:r>
        <w:rPr>
          <w:rStyle w:val="VerbatimChar"/>
          <w:bCs/>
          <w:b/>
        </w:rPr>
        <w:t xml:space="preserve">[Navigation: …]</w:t>
      </w:r>
      <w:r>
        <w:rPr>
          <w:bCs/>
          <w:b/>
        </w:rPr>
        <w:t xml:space="preserve"> text in the step itself</w:t>
      </w:r>
      <w:r>
        <w:t xml:space="preserve"> instead. Then ask.</w:t>
      </w:r>
    </w:p>
    <w:p>
      <w:pPr>
        <w:pStyle w:val="BodyText"/>
      </w:pPr>
      <w:r>
        <w:rPr>
          <w:bCs/>
          <w:b/>
        </w:rPr>
        <w:t xml:space="preserve">“I’m not enrolled.”</w:t>
      </w:r>
      <w:r>
        <w:t xml:space="preserve"> Contact your TIB administrator, and do it </w:t>
      </w:r>
      <w:r>
        <w:rPr>
          <w:bCs/>
          <w:b/>
        </w:rPr>
        <w:t xml:space="preserve">before</w:t>
      </w:r>
      <w:r>
        <w:t xml:space="preserve"> your first assigned test rather than when you need it under deadline pressure. Your study guide says the same thing, in Part 7.</w:t>
      </w:r>
    </w:p>
    <w:p>
      <w:r>
        <w:pict>
          <v:rect style="width:0;height:1.5pt" o:hralign="center" o:hrstd="t" o:hr="t"/>
        </w:pict>
      </w:r>
    </w:p>
    <w:bookmarkEnd w:id="37"/>
    <w:bookmarkStart w:id="38" w:name="the-one-page-version"/>
    <w:p>
      <w:pPr>
        <w:pStyle w:val="Heading1"/>
      </w:pPr>
      <w:r>
        <w:t xml:space="preserve">The one-page version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3960"/>
        <w:gridCol w:w="396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Theory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pack. </w:t>
            </w:r>
            <w:r>
              <w:rPr>
                <w:bCs/>
                <w:b/>
              </w:rPr>
              <w:t xml:space="preserve">Keep the app closed.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 week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Read the pack first, fill in the Planning Card, </w:t>
            </w:r>
            <w:r>
              <w:rPr>
                <w:bCs/>
                <w:b/>
              </w:rPr>
              <w:t xml:space="preserve">then</w:t>
            </w:r>
            <w:r>
              <w:t xml:space="preserve"> open the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 = Part I · Module 2 = Parts II + VI · Module 3 = Parts III + IV + V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number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Always from the page </w:t>
            </w:r>
            <w:r>
              <w:rPr>
                <w:bCs/>
                <w:b/>
              </w:rPr>
              <w:t xml:space="preserve">header</w:t>
            </w:r>
            <w:r>
              <w:t xml:space="preserve">, never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into </w:t>
            </w:r>
            <w:r>
              <w:rPr>
                <w:bCs/>
                <w:b/>
              </w:rPr>
              <w:t xml:space="preserve">your workpaper</w:t>
            </w:r>
            <w:r>
              <w:t xml:space="preserve">. The app stores nothing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Window width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 least 900 pixels</w:t>
            </w:r>
            <w:r>
              <w:t xml:space="preserve">, or the layout changes shape</w:t>
            </w:r>
          </w:p>
        </w:tc>
      </w:tr>
    </w:tbl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64" w:lineRule="auto"/>
    </w:pPr>
    <w:rPr>
      <w:rFonts w:ascii="Calibri" w:cs="Calibri" w:hAnsi="Calibri"/>
      <w:color w:val="1F2933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  <w:pBdr>
        <w:bottom w:color="C87F16" w:space="6" w:sz="18" w:val="single"/>
      </w:pBdr>
    </w:pPr>
    <w:rPr>
      <w:rFonts w:ascii="Cambria" w:hAnsi="Cambria"/>
      <w:b/>
      <w:color w:val="12203A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360"/>
      <w:pBdr>
        <w:bottom w:color="D6DEEA" w:space="5" w:sz="8" w:val="single"/>
      </w:pBdr>
      <w:outlineLvl w:val="0"/>
    </w:pPr>
    <w:rPr>
      <w:rFonts w:ascii="Cambria" w:hAnsi="Cambria"/>
      <w:b/>
      <w:color w:val="1B3358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280"/>
      <w:outlineLvl w:val="1"/>
    </w:pPr>
    <w:rPr>
      <w:rFonts w:ascii="Cambria" w:hAnsi="Cambria"/>
      <w:b/>
      <w:color w:val="1B3358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40"/>
      <w:outlineLvl w:val="2"/>
    </w:pPr>
    <w:rPr>
      <w:rFonts w:ascii="Calibri" w:hAnsi="Calibri"/>
      <w:b/>
      <w:color w:val="C87F16"/>
      <w:sz w:val="21"/>
      <w:szCs w:val="21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pPr>
      <w:pBdr>
        <w:left w:color="C87F16" w:space="10" w:sz="18" w:val="single"/>
      </w:pBdr>
      <w:ind w:left="288"/>
      <w:spacing w:after="140" w:before="140"/>
    </w:pPr>
    <w:rPr>
      <w:i/>
      <w:color w:val="5A6B85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59"/>
    <w:pPr>
      <w:spacing w:after="40" w:before="40" w:line="240" w:lineRule="auto"/>
    </w:pPr>
    <w:rPr>
      <w:rFonts w:ascii="Calibri" w:hAnsi="Calibri"/>
      <w:sz w:val="19"/>
      <w:szCs w:val="19"/>
    </w:rPr>
    <w:tblPr>
      <w:tblBorders>
        <w:top w:color="D6DEEA" w:space="0" w:sz="4" w:val="single"/>
        <w:left w:color="auto" w:space="0" w:sz="0" w:val="none"/>
        <w:bottom w:color="D6DEEA" w:space="0" w:sz="4" w:val="single"/>
        <w:right w:color="auto" w:space="0" w:sz="0" w:val="none"/>
        <w:insideH w:color="D6DEEA" w:space="0" w:sz="4" w:val="single"/>
        <w:insideV w:color="auto" w:space="0" w:sz="0" w:val="none"/>
      </w:tblBorders>
      <w:tblCellMar>
        <w:top w:type="dxa" w:w="72"/>
        <w:left w:type="dxa" w:w="108"/>
        <w:bottom w:type="dxa" w:w="72"/>
        <w:right w:type="dxa" w:w="108"/>
      </w:tblCellMar>
    </w:tblPr>
    <w:tblStylePr w:type="firstRow">
      <w:pPr>
        <w:spacing w:after="60" w:before="60"/>
      </w:pPr>
      <w:rPr>
        <w:rFonts w:ascii="Calibri" w:hAnsi="Calibri"/>
        <w:b/>
        <w:color w:val="FFFFFF"/>
        <w:sz w:val="19"/>
      </w:rPr>
      <w:tcPr>
        <w:shd w:color="auto" w:fill="1B3358" w:val="clear"/>
        <w:tcBorders>
          <w:bottom w:color="1B3358" w:space="0" w:sz="4" w:val="single"/>
        </w:tcBorders>
      </w:tcPr>
    </w:tblStylePr>
    <w:tblStylePr w:type="band2Horz">
      <w:tcPr>
        <w:shd w:color="auto" w:fill="F5F8FC" w:val="clear"/>
      </w:tcPr>
    </w:tblStylePr>
    <w:tblStylePr w:type="firstCol">
      <w:rPr>
        <w:b/>
        <w:color w:val="1B3358"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Navigation Guide — Your Pack and the App, Side by Side</dc:title>
  <dc:creator>SAP SOX / ITGC Controls — Course 1 · Keep this open while you work</dc:creator>
  <cp:keywords/>
  <dcterms:created xsi:type="dcterms:W3CDTF">2026-09-05T23:33:03Z</dcterms:created>
  <dcterms:modified xsi:type="dcterms:W3CDTF">2026-09-05T23:33:03Z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Which document, which Book, which screen — session by session</vt:lpwstr>
  </property>
</Properties>
</file>