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SAP SOX / ITGC Controls — Course 1</w:t>
      </w:r>
    </w:p>
    <w:p>
      <w:pPr>
        <w:pStyle w:val="Subtitle"/>
      </w:pPr>
      <w:r>
        <w:t xml:space="preserve">Student Handbook · Your guide to the programme</w:t>
      </w:r>
    </w:p>
    <w:p>
      <w:pPr>
        <w:pStyle w:val="Author"/>
      </w:pPr>
      <w:r>
        <w:t xml:space="preserve">TIB Systems · SAP SOX / ITGC Controls — Course 1: The Full Sweep</w:t>
      </w:r>
    </w:p>
    <w:bookmarkStart w:id="20" w:name="start-here"/>
    <w:p>
      <w:pPr>
        <w:pStyle w:val="Heading1"/>
      </w:pPr>
      <w:r>
        <w:t xml:space="preserve">Start here</w:t>
      </w:r>
    </w:p>
    <w:p>
      <w:pPr>
        <w:pStyle w:val="FirstParagraph"/>
      </w:pPr>
      <w:r>
        <w:t xml:space="preserve">Welcome. </w:t>
      </w:r>
      <w:r>
        <w:rPr>
          <w:bCs/>
          <w:b/>
        </w:rPr>
        <w:t xml:space="preserve">This handbook is the map of the whole programme.</w:t>
      </w:r>
      <w:r>
        <w:t xml:space="preserve"> Read it once before the first session, then keep it where you can find it.</w:t>
      </w:r>
    </w:p>
    <w:p>
      <w:pPr>
        <w:pStyle w:val="BodyText"/>
      </w:pPr>
      <w:r>
        <w:t xml:space="preserve">It answers five questions:</w:t>
      </w:r>
    </w:p>
    <w:tbl>
      <w:tblPr>
        <w:tblStyle w:val="Table"/>
        <w:tblW w:type="auto" w:w="0"/>
        <w:tblLook w:firstRow="1" w:lastRow="0" w:firstColumn="0" w:lastColumn="0" w:noHBand="0" w:noVBand="1" w:val="04A0"/>
        <w:jc w:val="start"/>
      </w:tblPr>
      <w:tblGrid>
        <w:gridCol w:w="3960"/>
        <w:gridCol w:w="3960"/>
      </w:tblGrid>
      <w:tr>
        <w:trPr>
          <w:tblHeader/>
          <w:tblHeader w:val="true"/>
        </w:trPr>
        <w:tc>
          <w:tcPr>
            <w:shd w:val="clear" w:color="auto" w:fill="1B3358"/>
          </w:tcPr>
          <w:tcPr/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Question</w:t>
            </w:r>
          </w:p>
        </w:tc>
        <w:tc>
          <w:tcPr>
            <w:shd w:val="clear" w:color="auto" w:fill="1B3358"/>
          </w:tcPr>
          <w:tcPr/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am I learning?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 2</w:t>
            </w:r>
          </w:p>
        </w:tc>
      </w:tr>
      <w:tr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When is everything?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Page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do I have to do?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 5</w:t>
            </w:r>
          </w:p>
        </w:tc>
      </w:tr>
      <w:tr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How am I assessed?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Page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if something goes wrong?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 8</w:t>
            </w:r>
          </w:p>
        </w:tc>
      </w:tr>
    </w:tbl>
    <w:p>
      <w:pPr>
        <w:pStyle w:val="BodyText"/>
      </w:pPr>
      <w:r>
        <w:rPr>
          <w:bCs/>
          <w:b/>
        </w:rPr>
        <w:t xml:space="preserve">If you read only one other thing before the first session, make it your Pre-Class Reading Plan.</w:t>
      </w:r>
    </w:p>
    <w:p>
      <w:r>
        <w:pict>
          <v:rect style="width:0;height:1.5pt" o:hralign="center" o:hrstd="t" o:hr="t"/>
        </w:pict>
      </w:r>
    </w:p>
    <w:bookmarkEnd w:id="20"/>
    <w:bookmarkStart w:id="24" w:name="what-you-are-learning"/>
    <w:p>
      <w:pPr>
        <w:pStyle w:val="Heading1"/>
      </w:pPr>
      <w:r>
        <w:t xml:space="preserve">1 · What you are learning</w:t>
      </w:r>
    </w:p>
    <w:p>
      <w:pPr>
        <w:pStyle w:val="FirstParagraph"/>
      </w:pPr>
      <w:r>
        <w:t xml:space="preserve">The goal is practical: </w:t>
      </w:r>
      <w:r>
        <w:rPr>
          <w:bCs/>
          <w:b/>
        </w:rPr>
        <w:t xml:space="preserve">to teach you how to test whether an SAP system is secure, compliant and properly controlled in a real company.</w:t>
      </w:r>
    </w:p>
    <w:p>
      <w:pPr>
        <w:pStyle w:val="BodyText"/>
      </w:pPr>
      <w:r>
        <w:t xml:space="preserve">As an SAP SOX / ITGC Controls Consultant, your job is to verify three things.</w:t>
      </w:r>
    </w:p>
    <w:p>
      <w:pPr>
        <w:pStyle w:val="BodyText"/>
      </w:pPr>
      <w:r>
        <w:rPr>
          <w:bCs/>
          <w:b/>
        </w:rPr>
        <w:t xml:space="preserve">Did the system do what it was configured to do?</w:t>
      </w:r>
    </w:p>
    <w:p>
      <w:pPr>
        <w:pStyle w:val="BodyText"/>
      </w:pPr>
      <w:r>
        <w:rPr>
          <w:bCs/>
          <w:b/>
        </w:rPr>
        <w:t xml:space="preserve">Did users do only what they were authorised to do?</w:t>
      </w:r>
      <w:r>
        <w:t xml:space="preserve"> — segregation of duties and access controls.</w:t>
      </w:r>
    </w:p>
    <w:p>
      <w:pPr>
        <w:pStyle w:val="BodyText"/>
      </w:pPr>
      <w:r>
        <w:rPr>
          <w:bCs/>
          <w:b/>
        </w:rPr>
        <w:t xml:space="preserve">Is there reliable, tamper-proof evidence of what happened?</w:t>
      </w:r>
      <w:r>
        <w:t xml:space="preserve"> — the audit trail.</w:t>
      </w:r>
    </w:p>
    <w:bookmarkStart w:id="21" w:name="you-do-not-need-an-sap-background"/>
    <w:p>
      <w:pPr>
        <w:pStyle w:val="Heading2"/>
      </w:pPr>
      <w:r>
        <w:t xml:space="preserve">You do not need an SAP background</w:t>
      </w:r>
    </w:p>
    <w:p>
      <w:pPr>
        <w:pStyle w:val="FirstParagraph"/>
      </w:pPr>
      <w:r>
        <w:t xml:space="preserve">The programme is built for people starting from zero. You learn the business logic first, watch a trainer demonstrate it live, and then do it yourself in a real SAP sandbox.</w:t>
      </w:r>
    </w:p>
    <w:p>
      <w:pPr>
        <w:pStyle w:val="BodyText"/>
      </w:pPr>
      <w:r>
        <w:rPr>
          <w:bCs/>
          <w:b/>
        </w:rPr>
        <w:t xml:space="preserve">You will not write any code.</w:t>
      </w:r>
      <w:r>
        <w:t xml:space="preserve"> Not this month, not ever, unless you choose to.</w:t>
      </w:r>
    </w:p>
    <w:bookmarkEnd w:id="21"/>
    <w:bookmarkStart w:id="22" w:name="how-you-will-learn-it-i-do-we-do-you-do"/>
    <w:p>
      <w:pPr>
        <w:pStyle w:val="Heading2"/>
      </w:pPr>
      <w:r>
        <w:t xml:space="preserve">How you will learn it — “I do, we do, you do”</w:t>
      </w:r>
    </w:p>
    <w:p>
      <w:pPr>
        <w:pStyle w:val="FirstParagraph"/>
      </w:pPr>
      <w:r>
        <w:t xml:space="preserve">Nobody expects you to memorise transaction codes or work out complex software alone. Every topic follows the same three steps.</w:t>
      </w:r>
    </w:p>
    <w:tbl>
      <w:tblPr>
        <w:tblStyle w:val="Table"/>
        <w:tblW w:type="pct" w:w="5000"/>
        <w:tblLook w:firstRow="1" w:lastRow="0" w:firstColumn="0" w:lastColumn="0" w:noHBand="0" w:noVBand="1" w:val="04A0"/>
        <w:jc w:val="start"/>
      </w:tblPr>
      <w:tblGrid>
        <w:gridCol w:w="3960"/>
        <w:gridCol w:w="3960"/>
      </w:tblGrid>
      <w:tr>
        <w:trPr>
          <w:tblHeader/>
          <w:tblHeader w:val="true"/>
        </w:trPr>
        <w:tc>
          <w:tcPr>
            <w:shd w:val="clear" w:color="auto" w:fill="1B3358"/>
          </w:tcPr>
          <w:tcPr/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Step</w:t>
            </w:r>
          </w:p>
        </w:tc>
        <w:tc>
          <w:tcPr>
            <w:shd w:val="clear" w:color="auto" w:fill="1B3358"/>
          </w:tcPr>
          <w:tcPr/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What happens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· Guided reading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get short reading before each session. In class, your trainer breaks the case down with slides and explains </w:t>
            </w:r>
            <w:r>
              <w:rPr>
                <w:bCs/>
                <w:b/>
              </w:rPr>
              <w:t xml:space="preserve">why the control matters</w:t>
            </w:r>
          </w:p>
        </w:tc>
      </w:tr>
      <w:tr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· I do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In the lab, your trainer shares their screen and demonstrates the exact clicks, transaction codes and reports — step by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· We do, you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log into your own SAP sandbox alongside the trainer, repeat the same steps, and build real audit workpapers</w:t>
            </w:r>
          </w:p>
        </w:tc>
      </w:tr>
    </w:tbl>
    <w:bookmarkEnd w:id="22"/>
    <w:bookmarkStart w:id="23" w:name="and-one-rule-underneath-all-of-it"/>
    <w:p>
      <w:pPr>
        <w:pStyle w:val="Heading2"/>
      </w:pPr>
      <w:r>
        <w:t xml:space="preserve">And one rule underneath all of it</w:t>
      </w:r>
    </w:p>
    <w:p>
      <w:pPr>
        <w:pStyle w:val="FirstParagraph"/>
      </w:pPr>
      <w:r>
        <w:rPr>
          <w:bCs/>
          <w:b/>
        </w:rPr>
        <w:t xml:space="preserve">You read the material before the session. We reason through it together in the session. You run it in SAP in the lab.</w:t>
      </w:r>
    </w:p>
    <w:p>
      <w:pPr>
        <w:pStyle w:val="BodyText"/>
      </w:pPr>
      <w:r>
        <w:t xml:space="preserve">Skip the first step and the second becomes somebody reading to you.</w:t>
      </w:r>
    </w:p>
    <w:p>
      <w:pPr>
        <w:pStyle w:val="BodyText"/>
      </w:pPr>
      <w:r>
        <w:rPr>
          <w:bCs/>
          <w:b/>
        </w:rPr>
        <w:t xml:space="preserve">Nobody will check whether you did the reading.</w:t>
      </w:r>
      <w:r>
        <w:t xml:space="preserve"> It simply becomes obvious within about ten minutes — to you more than anyone else.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the-four-weeks"/>
    <w:p>
      <w:pPr>
        <w:pStyle w:val="Heading1"/>
      </w:pPr>
      <w:r>
        <w:t xml:space="preserve">2 · The 20 teaching days</w:t>
      </w:r>
    </w:p>
    <w:tbl>
      <w:tblPr>
        <w:tblStyle w:val="Table"/>
        <w:tblW w:type="pct" w:w="5000"/>
        <w:tblLook w:firstRow="1" w:lastRow="0" w:firstColumn="0" w:lastColumn="0" w:noHBand="0" w:noVBand="1" w:val="04A0"/>
        <w:jc w:val="start"/>
      </w:tblPr>
      <w:tblGrid>
        <w:gridCol w:w="1980"/>
        <w:gridCol w:w="1980"/>
        <w:gridCol w:w="1980"/>
        <w:gridCol w:w="1980"/>
      </w:tblGrid>
      <w:tr>
        <w:trPr>
          <w:tblHeader/>
          <w:tblHeader w:val="true"/>
        </w:trPr>
        <w:tc>
          <w:tcPr>
            <w:shd w:val="clear" w:color="auto" w:fill="1B3358"/>
          </w:tcPr>
          <w:tcPr/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Date</w:t>
            </w:r>
          </w:p>
        </w:tc>
        <w:tc>
          <w:tcPr>
            <w:shd w:val="clear" w:color="auto" w:fill="1B3358"/>
          </w:tcPr>
          <w:tcPr/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What happens</w:t>
            </w:r>
          </w:p>
        </w:tc>
        <w:tc>
          <w:tcPr>
            <w:shd w:val="clear" w:color="auto" w:fill="1B3358"/>
          </w:tcPr>
          <w:tcPr/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Nigeria &amp; UK</w:t>
            </w:r>
          </w:p>
        </w:tc>
        <w:tc>
          <w:tcPr>
            <w:shd w:val="clear" w:color="auto" w:fill="1B3358"/>
          </w:tcPr>
          <w:tcPr/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Sat 5 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Pre-class introduction — a map of what you are about to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Live, 3 hrs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live session</w:t>
            </w:r>
          </w:p>
        </w:tc>
      </w:tr>
      <w:tr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7 – 11 Sep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Read the three pre-class guides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Independent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Independent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Sat 12 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Pre-class Q&amp;A and course orientation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Live, 3 hrs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live session</w:t>
            </w:r>
          </w:p>
        </w:tc>
      </w:tr>
      <w:tr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 14 · Wed 16 · Fri 18 Sep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Theory sessions.</w:t>
            </w:r>
            <w:r>
              <w:t xml:space="preserve"> Modules 1, 2 and 3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Live, 3 hrs each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Recordings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Sat 19 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Theory Q&amp;A and the Case Lab gates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Live, 3 hrs</w:t>
            </w:r>
          </w:p>
        </w:tc>
      </w:tr>
      <w:tr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 21 · Wed 23 · Fri 25 Sep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Lab sessions.</w:t>
            </w:r>
            <w:r>
              <w:t xml:space="preserve"> Modules 1, 2 and 3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Live, 3 hrs each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Recordings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Sat 26 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Q&amp;A, workpaper clinic and course 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Live, 3 hrs</w:t>
            </w:r>
          </w:p>
        </w:tc>
      </w:tr>
      <w:tr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28 Sep – 2 Oct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Read the post-class materials — 8 chapters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Independent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Independent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Sat 3 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Post-class Q&amp;A and wrap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Live, 3 hrs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live session</w:t>
            </w:r>
          </w:p>
        </w:tc>
      </w:tr>
    </w:tbl>
    <w:p>
      <w:pPr>
        <w:pStyle w:val="BodyText"/>
      </w:pPr>
      <w:r>
        <w:t xml:space="preserve">The programme runs across 20 teaching days. The exact day-by-day Book schedule is in your 20-Day Master Delivery Schedule.</w:t>
      </w:r>
    </w:p>
    <w:p>
      <w:pPr>
        <w:pStyle w:val="BodyText"/>
      </w:pPr>
      <w:r>
        <w:t xml:space="preserve">Your exact dates and local times are confirmed at enrollment.</w:t>
      </w:r>
    </w:p>
    <w:bookmarkStart w:id="25" w:name="what-arrives-and-when"/>
    <w:p>
      <w:pPr>
        <w:pStyle w:val="Heading2"/>
      </w:pPr>
      <w:r>
        <w:t xml:space="preserve">What arrives, and when</w:t>
      </w:r>
    </w:p>
    <w:tbl>
      <w:tblPr>
        <w:tblStyle w:val="Table"/>
        <w:tblW w:type="pct" w:w="5000"/>
        <w:tblLook w:firstRow="1" w:lastRow="0" w:firstColumn="0" w:lastColumn="0" w:noHBand="0" w:noVBand="1" w:val="04A0"/>
        <w:jc w:val="start"/>
      </w:tblPr>
      <w:tblGrid>
        <w:gridCol w:w="3960"/>
        <w:gridCol w:w="3960"/>
      </w:tblGrid>
      <w:tr>
        <w:trPr>
          <w:tblHeader/>
          <w:tblHeader w:val="true"/>
        </w:trPr>
        <w:tc>
          <w:tcPr>
            <w:shd w:val="clear" w:color="auto" w:fill="1B3358"/>
          </w:tcPr>
          <w:tcPr/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When</w:t>
            </w:r>
          </w:p>
        </w:tc>
        <w:tc>
          <w:tcPr>
            <w:shd w:val="clear" w:color="auto" w:fill="1B3358"/>
          </w:tcPr>
          <w:tcPr/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What you receive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Before you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three pre-class guides and your reading plan</w:t>
            </w:r>
          </w:p>
        </w:tc>
      </w:tr>
      <w:tr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Early in the programme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The main course pack — all 40 Books, Reading Packs 1–12, the Planning Card and workpaper templates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Before lab work begins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lab pack, your SAP access details, and Reading Packs 4–6</w:t>
            </w:r>
          </w:p>
        </w:tc>
      </w:tr>
      <w:tr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After the programme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The post-class materials — 8 chapters, each with a Training Manual and a Course Summary</w:t>
            </w:r>
          </w:p>
        </w:tc>
      </w:tr>
    </w:tbl>
    <w:p>
      <w:pPr>
        <w:pStyle w:val="BodyText"/>
      </w:pPr>
      <w:r>
        <w:rPr>
          <w:bCs/>
          <w:b/>
          <w:i/>
          <w:iCs/>
        </w:rPr>
        <w:t xml:space="preserve">Note: the table above uses phase-based timing rather than specific day numbers. It has not yet been mapped to exact days in the 20-day schedule.</w:t>
      </w:r>
    </w:p>
    <w:p>
      <w:pPr>
        <w:pStyle w:val="BodyText"/>
      </w:pPr>
      <w:r>
        <w:rPr>
          <w:bCs/>
          <w:b/>
        </w:rPr>
        <w:t xml:space="preserve">Everything arrives by email, on the day it is due.</w:t>
      </w:r>
      <w:r>
        <w:t xml:space="preserve"> You never have to chase anything.</w:t>
      </w:r>
    </w:p>
    <w:p>
      <w:pPr>
        <w:pStyle w:val="BodyText"/>
      </w:pPr>
      <w:r>
        <w:t xml:space="preserve">If you cannot attend a session live, a recording is provided — check your enrollment confirmation for how recordings are delivered.</w:t>
      </w:r>
    </w:p>
    <w:bookmarkEnd w:id="25"/>
    <w:bookmarkStart w:id="26" w:name="X1fcbf8b6615e5b1ea671fde700359e09f02e6cb"/>
    <w:p>
      <w:pPr>
        <w:pStyle w:val="Heading2"/>
      </w:pPr>
      <w:r>
        <w:t xml:space="preserve">The one thing to do the day your lab pack arrives</w:t>
      </w:r>
    </w:p>
    <w:p>
      <w:pPr>
        <w:pStyle w:val="FirstParagraph"/>
      </w:pPr>
      <w:r>
        <w:rPr>
          <w:bCs/>
          <w:b/>
        </w:rPr>
        <w:t xml:space="preserve">Test your SAP login. That day.</w:t>
      </w:r>
    </w:p>
    <w:p>
      <w:pPr>
        <w:pStyle w:val="BodyText"/>
      </w:pPr>
      <w:r>
        <w:t xml:space="preserve">If it does not work, say so immediately. On the Monday there is nobody free to fix it mid-session, and you lose a week of hands-on work.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the-three-tools-you-will-use"/>
    <w:p>
      <w:pPr>
        <w:pStyle w:val="Heading1"/>
      </w:pPr>
      <w:r>
        <w:t xml:space="preserve">3 · The three tools you will use</w:t>
      </w:r>
    </w:p>
    <w:tbl>
      <w:tblPr>
        <w:tblStyle w:val="Table"/>
        <w:tblW w:type="pct" w:w="5000"/>
        <w:tblLook w:firstRow="1" w:lastRow="0" w:firstColumn="0" w:lastColumn="0" w:noHBand="0" w:noVBand="1" w:val="04A0"/>
        <w:jc w:val="start"/>
      </w:tblPr>
      <w:tblGrid>
        <w:gridCol w:w="2640"/>
        <w:gridCol w:w="2640"/>
        <w:gridCol w:w="2640"/>
      </w:tblGrid>
      <w:tr>
        <w:trPr>
          <w:tblHeader/>
          <w:tblHeader w:val="true"/>
        </w:trPr>
        <w:tc>
          <w:tcPr>
            <w:shd w:val="clear" w:color="auto" w:fill="1B3358"/>
          </w:tcPr>
          <w:tcPr/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Tool</w:t>
            </w:r>
          </w:p>
        </w:tc>
        <w:tc>
          <w:tcPr>
            <w:shd w:val="clear" w:color="auto" w:fill="1B3358"/>
          </w:tcPr>
          <w:tcPr/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What it is</w:t>
            </w:r>
          </w:p>
        </w:tc>
        <w:tc>
          <w:tcPr>
            <w:shd w:val="clear" w:color="auto" w:fill="1B3358"/>
          </w:tcPr>
          <w:tcPr/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When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Junior Study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52-page guide. Book 1’s full story, the workpaper standard, and how to use the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Throughout</w:t>
            </w:r>
          </w:p>
        </w:tc>
      </w:tr>
      <w:tr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SAP Testing Execution Guide app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Browser-based. 22 Books, each showing the exact screens and clicks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Lab week and after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own SAP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SAP GUI on your desktop, or a browser tab for Fiori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week</w:t>
            </w:r>
          </w:p>
        </w:tc>
      </w:tr>
    </w:tbl>
    <w:bookmarkStart w:id="28" w:name="about-the-app"/>
    <w:p>
      <w:pPr>
        <w:pStyle w:val="Heading2"/>
      </w:pPr>
      <w:r>
        <w:t xml:space="preserve">About the app</w:t>
      </w:r>
    </w:p>
    <w:p>
      <w:pPr>
        <w:pStyle w:val="FirstParagraph"/>
      </w:pPr>
      <w:r>
        <w:rPr>
          <w:bCs/>
          <w:b/>
        </w:rPr>
        <w:t xml:space="preserve">It is enrolled for you.</w:t>
      </w:r>
      <w:r>
        <w:t xml:space="preserve"> Your TIB administrator sets up the URL and your access, and you will receive both.</w:t>
      </w:r>
    </w:p>
    <w:p>
      <w:pPr>
        <w:pStyle w:val="BodyText"/>
      </w:pPr>
      <w:r>
        <w:rPr>
          <w:bCs/>
          <w:b/>
        </w:rPr>
        <w:t xml:space="preserve">Check your app login as soon as it arrives</w:t>
      </w:r>
      <w:r>
        <w:t xml:space="preserve"> — not on the day you need it. If you are unsure whether you are enrolled, ask early.</w:t>
      </w:r>
    </w:p>
    <w:p>
      <w:pPr>
        <w:pStyle w:val="BodyText"/>
      </w:pPr>
      <w:r>
        <w:rPr>
          <w:bCs/>
          <w:b/>
        </w:rPr>
        <w:t xml:space="preserve">The app does not connect to SAP.</w:t>
      </w:r>
      <w:r>
        <w:t xml:space="preserve"> You sign into SAP separately, in your own session, and run the two side by side.</w:t>
      </w:r>
    </w:p>
    <w:p>
      <w:pPr>
        <w:pStyle w:val="BodyText"/>
      </w:pPr>
      <w:r>
        <w:rPr>
          <w:bCs/>
          <w:b/>
        </w:rPr>
        <w:t xml:space="preserve">There is a Navigation Guide in your pack</w:t>
      </w:r>
      <w:r>
        <w:t xml:space="preserve"> that maps every Book across all three tools — which Reading Pack covers it, which app Part holds it, and where it sits in the app’s sequence. </w:t>
      </w:r>
      <w:r>
        <w:rPr>
          <w:bCs/>
          <w:b/>
        </w:rPr>
        <w:t xml:space="preserve">Keep it open during lab week.</w:t>
      </w:r>
    </w:p>
    <w:bookmarkEnd w:id="28"/>
    <w:bookmarkStart w:id="29" w:name="one-detail-that-catches-everybody-out"/>
    <w:p>
      <w:pPr>
        <w:pStyle w:val="Heading2"/>
      </w:pPr>
      <w:r>
        <w:t xml:space="preserve">One detail that catches everybody out</w:t>
      </w:r>
    </w:p>
    <w:p>
      <w:pPr>
        <w:pStyle w:val="FirstParagraph"/>
      </w:pPr>
      <w:r>
        <w:t xml:space="preserve">The counter at the top right of a Book page shows the Book’s </w:t>
      </w:r>
      <w:r>
        <w:rPr>
          <w:bCs/>
          <w:b/>
        </w:rPr>
        <w:t xml:space="preserve">position in the app’s sequence</w:t>
      </w:r>
      <w:r>
        <w:t xml:space="preserve">, not its Book number.</w:t>
      </w:r>
    </w:p>
    <w:p>
      <w:pPr>
        <w:pStyle w:val="BodyText"/>
      </w:pPr>
      <w:r>
        <w:rPr>
          <w:bCs/>
          <w:b/>
        </w:rPr>
        <w:t xml:space="preserve">The header above it shows the real number. Always go by the header.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what-you-have-to-do"/>
    <w:p>
      <w:pPr>
        <w:pStyle w:val="Heading1"/>
      </w:pPr>
      <w:r>
        <w:t xml:space="preserve">4 · What you have to do</w:t>
      </w:r>
    </w:p>
    <w:bookmarkStart w:id="31" w:name="before-every-session-read"/>
    <w:p>
      <w:pPr>
        <w:pStyle w:val="Heading2"/>
      </w:pPr>
      <w:r>
        <w:t xml:space="preserve">Before every session — read</w:t>
      </w:r>
    </w:p>
    <w:p>
      <w:pPr>
        <w:pStyle w:val="FirstParagraph"/>
      </w:pPr>
      <w:r>
        <w:t xml:space="preserve">The Syllabus tells you exactly what to read for each session, with time estimates.</w:t>
      </w:r>
    </w:p>
    <w:bookmarkEnd w:id="31"/>
    <w:bookmarkStart w:id="32" w:name="three-planning-cards"/>
    <w:p>
      <w:pPr>
        <w:pStyle w:val="Heading2"/>
      </w:pPr>
      <w:r>
        <w:t xml:space="preserve">Three Planning Cards</w:t>
      </w:r>
    </w:p>
    <w:p>
      <w:pPr>
        <w:pStyle w:val="FirstParagraph"/>
      </w:pPr>
      <w:r>
        <w:t xml:space="preserve">One in each theory session. Ten fields, on a Book from that module.</w:t>
      </w:r>
    </w:p>
    <w:p>
      <w:pPr>
        <w:pStyle w:val="BodyText"/>
      </w:pPr>
      <w:r>
        <w:t xml:space="preserve">Completed during the session, or as homework brought to the next session — check your cohort’s format.</w:t>
      </w:r>
    </w:p>
    <w:p>
      <w:pPr>
        <w:pStyle w:val="BodyText"/>
      </w:pPr>
      <w:r>
        <w:t xml:space="preserve">A blank template is in your Templates folder.</w:t>
      </w:r>
    </w:p>
    <w:bookmarkEnd w:id="32"/>
    <w:bookmarkStart w:id="33" w:name="Xda8b653cfc834fb27762ee39d219a771e472b2a"/>
    <w:p>
      <w:pPr>
        <w:pStyle w:val="Heading2"/>
      </w:pPr>
      <w:r>
        <w:t xml:space="preserve">Three workpapers — this is the assessed work</w:t>
      </w:r>
    </w:p>
    <w:tbl>
      <w:tblPr>
        <w:tblStyle w:val="Table"/>
        <w:tblW w:type="pct" w:w="5000"/>
        <w:tblLook w:firstRow="1" w:lastRow="0" w:firstColumn="0" w:lastColumn="0" w:noHBand="0" w:noVBand="1" w:val="04A0"/>
        <w:jc w:val="start"/>
      </w:tblPr>
      <w:tblGrid>
        <w:gridCol w:w="2640"/>
        <w:gridCol w:w="2640"/>
        <w:gridCol w:w="2640"/>
      </w:tblGrid>
      <w:tr>
        <w:trPr>
          <w:tblHeader/>
          <w:tblHeader w:val="true"/>
        </w:trPr>
        <w:tc>
          <w:tcPr>
            <w:shd w:val="clear" w:color="auto" w:fill="1B3358"/>
          </w:tcPr>
          <w:tcPr/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#</w:t>
            </w:r>
          </w:p>
        </w:tc>
        <w:tc>
          <w:tcPr>
            <w:shd w:val="clear" w:color="auto" w:fill="1B3358"/>
          </w:tcPr>
          <w:tcPr/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Book</w:t>
            </w:r>
          </w:p>
        </w:tc>
        <w:tc>
          <w:tcPr>
            <w:shd w:val="clear" w:color="auto" w:fill="1B3358"/>
          </w:tcPr>
          <w:tcPr/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Due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 17 — The Leaver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the second lab session</w:t>
            </w:r>
          </w:p>
        </w:tc>
      </w:tr>
      <w:tr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Book 2 — The Emergency Change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Before the third lab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 3 — The Approval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one week of the final session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One workpaper, done properly, each time.</w:t>
      </w:r>
      <w:r>
        <w:t xml:space="preserve"> The objective is quality, not getting all three finished quickly.</w:t>
      </w:r>
    </w:p>
    <w:p>
      <w:pPr>
        <w:pStyle w:val="BodyText"/>
      </w:pPr>
      <w:r>
        <w:t xml:space="preserve">A template with guidance is in your Templates folder. </w:t>
      </w:r>
      <w:r>
        <w:rPr>
          <w:bCs/>
          <w:b/>
        </w:rPr>
        <w:t xml:space="preserve">Read it before you write the first one, not after.</w:t>
      </w:r>
    </w:p>
    <w:bookmarkEnd w:id="33"/>
    <w:bookmarkStart w:id="34" w:name="Xccc24a1c1bf4eb6fd37db73c673edfd3c5357b8"/>
    <w:p>
      <w:pPr>
        <w:pStyle w:val="Heading2"/>
      </w:pPr>
      <w:r>
        <w:t xml:space="preserve">One thing that will get your workpaper sent back</w:t>
      </w:r>
    </w:p>
    <w:p>
      <w:pPr>
        <w:pStyle w:val="FirstParagraph"/>
      </w:pPr>
      <w:r>
        <w:rPr>
          <w:bCs/>
          <w:b/>
        </w:rPr>
        <w:t xml:space="preserve">Do not write a conclusion that states how serious a deficiency is.</w:t>
      </w:r>
      <w:r>
        <w:t xml:space="preserve"> If your conclusion contains “minor” or “immaterial,” it comes back.</w:t>
      </w:r>
    </w:p>
    <w:p>
      <w:pPr>
        <w:pStyle w:val="BodyText"/>
      </w:pPr>
      <w:r>
        <w:t xml:space="preserve">That is not because you are wrong. </w:t>
      </w:r>
      <w:r>
        <w:rPr>
          <w:bCs/>
          <w:b/>
        </w:rPr>
        <w:t xml:space="preserve">Severity depends on materiality thresholds you do not have access to.</w:t>
      </w:r>
      <w:r>
        <w:t xml:space="preserve"> Your job is to establish the facts precisely enough for the right people to make that call correctly.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how-questions-work"/>
    <w:p>
      <w:pPr>
        <w:pStyle w:val="Heading1"/>
      </w:pPr>
      <w:r>
        <w:t xml:space="preserve">5 · How questions work</w:t>
      </w:r>
    </w:p>
    <w:p>
      <w:pPr>
        <w:pStyle w:val="FirstParagraph"/>
      </w:pPr>
      <w:r>
        <w:rPr>
          <w:bCs/>
          <w:b/>
        </w:rPr>
        <w:t xml:space="preserve">Every session has a deadline: the Thursday before it.</w:t>
      </w:r>
    </w:p>
    <w:p>
      <w:pPr>
        <w:pStyle w:val="BodyText"/>
      </w:pPr>
      <w:r>
        <w:t xml:space="preserve">Use the Question Submission Template. Four fields, about two minutes.</w:t>
      </w:r>
    </w:p>
    <w:bookmarkStart w:id="36" w:name="why-the-deadline-matters"/>
    <w:p>
      <w:pPr>
        <w:pStyle w:val="Heading2"/>
      </w:pPr>
      <w:r>
        <w:t xml:space="preserve">Why the deadline matters</w:t>
      </w:r>
    </w:p>
    <w:p>
      <w:pPr>
        <w:pStyle w:val="FirstParagraph"/>
      </w:pPr>
      <w:r>
        <w:t xml:space="preserve">Questions in by Thursday get answered </w:t>
      </w:r>
      <w:r>
        <w:rPr>
          <w:bCs/>
          <w:b/>
        </w:rPr>
        <w:t xml:space="preserve">by the group, in conversation, with people challenging and building on each other.</w:t>
      </w:r>
    </w:p>
    <w:p>
      <w:pPr>
        <w:pStyle w:val="BodyText"/>
      </w:pPr>
      <w:r>
        <w:t xml:space="preserve">Questions arriving later still get answered — but usually in writing, by the facilitator, alone.</w:t>
      </w:r>
    </w:p>
    <w:p>
      <w:pPr>
        <w:pStyle w:val="BodyText"/>
      </w:pPr>
      <w:r>
        <w:rPr>
          <w:bCs/>
          <w:b/>
        </w:rPr>
        <w:t xml:space="preserve">The first version is better, and it is the one you came for.</w:t>
      </w:r>
    </w:p>
    <w:bookmarkEnd w:id="36"/>
    <w:bookmarkStart w:id="37" w:name="what-makes-a-good-question"/>
    <w:p>
      <w:pPr>
        <w:pStyle w:val="Heading2"/>
      </w:pPr>
      <w:r>
        <w:t xml:space="preserve">What makes a good question</w:t>
      </w:r>
    </w:p>
    <w:p>
      <w:pPr>
        <w:pStyle w:val="FirstParagraph"/>
      </w:pPr>
      <w:r>
        <w:rPr>
          <w:bCs/>
          <w:b/>
        </w:rPr>
        <w:t xml:space="preserve">Weak:</w:t>
      </w:r>
      <w:r>
        <w:t xml:space="preserve"> </w:t>
      </w:r>
      <w:r>
        <w:rPr>
          <w:iCs/>
          <w:i/>
        </w:rPr>
        <w:t xml:space="preserve">“I didn’t understand Chapter 5.”</w:t>
      </w:r>
    </w:p>
    <w:p>
      <w:pPr>
        <w:pStyle w:val="BodyText"/>
      </w:pPr>
      <w:r>
        <w:rPr>
          <w:bCs/>
          <w:b/>
        </w:rPr>
        <w:t xml:space="preserve">Better:</w:t>
      </w:r>
      <w:r>
        <w:t xml:space="preserve"> </w:t>
      </w:r>
      <w:r>
        <w:rPr>
          <w:iCs/>
          <w:i/>
        </w:rPr>
        <w:t xml:space="preserve">“Guide 1, Chapter 5, the section on tables being relational. I understand a header points to line items — but who decides what those table names mean, and can a company change them?”</w:t>
      </w:r>
    </w:p>
    <w:p>
      <w:pPr>
        <w:pStyle w:val="BodyText"/>
      </w:pPr>
      <w:r>
        <w:rPr>
          <w:bCs/>
          <w:b/>
        </w:rPr>
        <w:t xml:space="preserve">Best:</w:t>
      </w:r>
      <w:r>
        <w:t xml:space="preserve"> questions that challenge something you read, or compare it with how things work where you already are. Those make the session more useful for everybody.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how-you-are-assessed"/>
    <w:p>
      <w:pPr>
        <w:pStyle w:val="Heading1"/>
      </w:pPr>
      <w:r>
        <w:t xml:space="preserve">6 · How you are assessed</w:t>
      </w:r>
    </w:p>
    <w:p>
      <w:pPr>
        <w:pStyle w:val="FirstParagraph"/>
      </w:pPr>
      <w:r>
        <w:rPr>
          <w:bCs/>
          <w:b/>
        </w:rPr>
        <w:t xml:space="preserve">You are assessed on judgement, not on navigation.</w:t>
      </w:r>
      <w:r>
        <w:t xml:space="preserve"> The weighting says so.</w:t>
      </w:r>
    </w:p>
    <w:tbl>
      <w:tblPr>
        <w:tblStyle w:val="Table"/>
        <w:tblW w:type="auto" w:w="0"/>
        <w:tblLook w:firstRow="1" w:lastRow="0" w:firstColumn="0" w:lastColumn="0" w:noHBand="0" w:noVBand="1" w:val="04A0"/>
        <w:jc w:val="start"/>
      </w:tblPr>
      <w:tblGrid>
        <w:gridCol w:w="3960"/>
        <w:gridCol w:w="3960"/>
      </w:tblGrid>
      <w:tr>
        <w:trPr>
          <w:tblHeader/>
          <w:tblHeader w:val="true"/>
        </w:trPr>
        <w:tc>
          <w:tcPr>
            <w:shd w:val="clear" w:color="auto" w:fill="1B3358"/>
          </w:tcPr>
          <w:tcPr/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Weight</w:t>
            </w:r>
          </w:p>
        </w:tc>
        <w:tc>
          <w:tcPr>
            <w:shd w:val="clear" w:color="auto" w:fill="1B3358"/>
          </w:tcPr>
          <w:tcPr/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What is assessed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 risk and control understanding</w:t>
            </w:r>
          </w:p>
        </w:tc>
      </w:tr>
      <w:tr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15%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Testing strategy and population 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evaluation</w:t>
            </w:r>
          </w:p>
        </w:tc>
      </w:tr>
      <w:tr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15%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Consultant judgement and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Workpaper and conclusion quality</w:t>
            </w:r>
          </w:p>
        </w:tc>
      </w:tr>
      <w:tr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10%</w:t>
            </w:r>
          </w:p>
        </w:tc>
        <w:tc>
          <w:tcPr>
            <w:shd w:val="clear" w:color="auto" w:fill="F5F8FC"/>
          </w:tcPr>
          <w:tcPr/>
          <w:p>
            <w:pPr>
              <w:pStyle w:val="Compact"/>
              <w:jc w:val="left"/>
            </w:pPr>
            <w:r>
              <w:t xml:space="preserve">Stakeholder communication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SAP execution accuracy</w:t>
            </w:r>
          </w:p>
        </w:tc>
      </w:tr>
    </w:tbl>
    <w:p>
      <w:pPr>
        <w:pStyle w:val="BodyText"/>
      </w:pPr>
      <w:r>
        <w:rPr>
          <w:bCs/>
          <w:b/>
        </w:rPr>
        <w:t xml:space="preserve">SAP execution accuracy is only ten percent, and that is deliberate.</w:t>
      </w:r>
    </w:p>
    <w:p>
      <w:pPr>
        <w:pStyle w:val="BodyText"/>
      </w:pPr>
      <w:r>
        <w:t xml:space="preserve">Navigation is something you can look up and get faster at with practice. Understanding risk, evaluating evidence, exercising judgement and communicating a conclusion are not.</w:t>
      </w:r>
    </w:p>
    <w:p>
      <w:r>
        <w:pict>
          <v:rect style="width:0;height:1.5pt" o:hralign="center" o:hrstd="t" o:hr="t"/>
        </w:pict>
      </w:r>
    </w:p>
    <w:bookmarkEnd w:id="39"/>
    <w:bookmarkStart w:id="41" w:name="ground-rules"/>
    <w:p>
      <w:pPr>
        <w:pStyle w:val="Heading1"/>
      </w:pPr>
      <w:r>
        <w:t xml:space="preserve">7 · Ground rules</w:t>
      </w:r>
    </w:p>
    <w:p>
      <w:pPr>
        <w:pStyle w:val="FirstParagraph"/>
      </w:pPr>
      <w:r>
        <w:rPr>
          <w:bCs/>
          <w:b/>
        </w:rPr>
        <w:t xml:space="preserve">Cameras on when you can.</w:t>
      </w:r>
      <w:r>
        <w:t xml:space="preserve"> If your connection is poor, camera off is fine — just say so in chat.</w:t>
      </w:r>
    </w:p>
    <w:p>
      <w:pPr>
        <w:pStyle w:val="BodyText"/>
      </w:pPr>
      <w:r>
        <w:rPr>
          <w:bCs/>
          <w:b/>
        </w:rPr>
        <w:t xml:space="preserve">Interrupt.</w:t>
      </w:r>
      <w:r>
        <w:t xml:space="preserve"> Ask the question rather than saving it for a Q&amp;A slot. Saved questions tend to die.</w:t>
      </w:r>
    </w:p>
    <w:p>
      <w:pPr>
        <w:pStyle w:val="BodyText"/>
      </w:pPr>
      <w:r>
        <w:rPr>
          <w:bCs/>
          <w:b/>
        </w:rPr>
        <w:t xml:space="preserve">Chat counts.</w:t>
      </w:r>
      <w:r>
        <w:t xml:space="preserve"> Half-formed thoughts, “too fast,” or “I don’t know what that acronym means” are all useful.</w:t>
      </w:r>
    </w:p>
    <w:p>
      <w:pPr>
        <w:pStyle w:val="BodyText"/>
      </w:pPr>
      <w:r>
        <w:rPr>
          <w:bCs/>
          <w:b/>
        </w:rPr>
        <w:t xml:space="preserve">There is no stupid question in your first days.</w:t>
      </w:r>
      <w:r>
        <w:t xml:space="preserve"> The real problem is sitting on a question for two weeks and asking it in the final debrief.</w:t>
      </w:r>
    </w:p>
    <w:bookmarkStart w:id="40" w:name="two-rules-for-lab-week"/>
    <w:p>
      <w:pPr>
        <w:pStyle w:val="Heading2"/>
      </w:pPr>
      <w:r>
        <w:t xml:space="preserve">Two rules for lab week</w:t>
      </w:r>
    </w:p>
    <w:p>
      <w:pPr>
        <w:pStyle w:val="FirstParagraph"/>
      </w:pPr>
      <w:r>
        <w:t xml:space="preserve">These matter more than anything else once you are in the SAP lab.</w:t>
      </w:r>
    </w:p>
    <w:p>
      <w:pPr>
        <w:pStyle w:val="BodyText"/>
      </w:pPr>
      <w:r>
        <w:rPr>
          <w:bCs/>
          <w:b/>
        </w:rPr>
        <w:t xml:space="preserve">Display only.</w:t>
      </w:r>
      <w:r>
        <w:t xml:space="preserve"> Build the habit now. If you reach a screen with a button that changes something, </w:t>
      </w:r>
      <w:r>
        <w:rPr>
          <w:bCs/>
          <w:b/>
        </w:rPr>
        <w:t xml:space="preserve">do not press it just to see what happens</w:t>
      </w:r>
      <w:r>
        <w:t xml:space="preserve"> — even in a sandbox.</w:t>
      </w:r>
    </w:p>
    <w:p>
      <w:pPr>
        <w:pStyle w:val="BodyText"/>
      </w:pPr>
      <w:r>
        <w:rPr>
          <w:bCs/>
          <w:b/>
        </w:rPr>
        <w:t xml:space="preserve">Planning Card before transaction code.</w:t>
      </w:r>
      <w:r>
        <w:t xml:space="preserve"> Every time you are about to type a T-code, look at Field 5. </w:t>
      </w:r>
      <w:r>
        <w:rPr>
          <w:bCs/>
          <w:b/>
        </w:rPr>
        <w:t xml:space="preserve">If you cannot say what your population is, you are not ready to type.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frequently-asked-honestly-answered"/>
    <w:p>
      <w:pPr>
        <w:pStyle w:val="Heading1"/>
      </w:pPr>
      <w:r>
        <w:t xml:space="preserve">8 · Frequently asked, honestly answered</w:t>
      </w:r>
    </w:p>
    <w:p>
      <w:pPr>
        <w:pStyle w:val="FirstParagraph"/>
      </w:pPr>
      <w:r>
        <w:rPr>
          <w:bCs/>
          <w:b/>
        </w:rPr>
        <w:t xml:space="preserve">Do I need to learn to code?</w:t>
      </w:r>
    </w:p>
    <w:p>
      <w:pPr>
        <w:pStyle w:val="BodyText"/>
      </w:pPr>
      <w:r>
        <w:t xml:space="preserve">No. You need to understand that the rules are implemented through code and configuration, and that both can be inspected. That is different from being expected to write any.</w:t>
      </w:r>
    </w:p>
    <w:p>
      <w:pPr>
        <w:pStyle w:val="BodyText"/>
      </w:pPr>
      <w:r>
        <w:rPr>
          <w:bCs/>
          <w:b/>
        </w:rPr>
        <w:t xml:space="preserve">How much do I need to memorise?</w:t>
      </w:r>
    </w:p>
    <w:p>
      <w:pPr>
        <w:pStyle w:val="BodyText"/>
      </w:pPr>
      <w:r>
        <w:t xml:space="preserve">Very little. </w:t>
      </w:r>
      <w:r>
        <w:rPr>
          <w:bCs/>
          <w:b/>
        </w:rPr>
        <w:t xml:space="preserve">Familiarity is the target, not recall.</w:t>
      </w:r>
      <w:r>
        <w:t xml:space="preserve"> You are reading so that when you meet something in a session, it is the second time rather than the first.</w:t>
      </w:r>
    </w:p>
    <w:p>
      <w:pPr>
        <w:pStyle w:val="BodyText"/>
      </w:pPr>
      <w:r>
        <w:rPr>
          <w:bCs/>
          <w:b/>
        </w:rPr>
        <w:t xml:space="preserve">What if I don’t finish the pre-class reading?</w:t>
      </w:r>
    </w:p>
    <w:p>
      <w:pPr>
        <w:pStyle w:val="BodyText"/>
      </w:pPr>
      <w:r>
        <w:t xml:space="preserve">Read </w:t>
      </w:r>
      <w:r>
        <w:rPr>
          <w:bCs/>
          <w:b/>
        </w:rPr>
        <w:t xml:space="preserve">Guide 1 Chapter 7</w:t>
      </w:r>
      <w:r>
        <w:t xml:space="preserve"> and </w:t>
      </w:r>
      <w:r>
        <w:rPr>
          <w:bCs/>
          <w:b/>
        </w:rPr>
        <w:t xml:space="preserve">Guide 2 Chapters 10 and 13</w:t>
      </w:r>
      <w:r>
        <w:t xml:space="preserve"> properly, then skim the rest. Tell the facilitator on Thursday what you did not reach. </w:t>
      </w:r>
      <w:r>
        <w:rPr>
          <w:bCs/>
          <w:b/>
        </w:rPr>
        <w:t xml:space="preserve">That is useful information, not something to hide.</w:t>
      </w:r>
    </w:p>
    <w:p>
      <w:pPr>
        <w:pStyle w:val="BodyText"/>
      </w:pPr>
      <w:r>
        <w:rPr>
          <w:bCs/>
          <w:b/>
        </w:rPr>
        <w:t xml:space="preserve">Is there an exam?</w:t>
      </w:r>
    </w:p>
    <w:p>
      <w:pPr>
        <w:pStyle w:val="BodyText"/>
      </w:pPr>
      <w:r>
        <w:t xml:space="preserve">No. There are readiness checklists at the back of each pre-class guide, and they are for you. Your assessed work is the three workpapers.</w:t>
      </w:r>
    </w:p>
    <w:p>
      <w:pPr>
        <w:pStyle w:val="BodyText"/>
      </w:pPr>
      <w:r>
        <w:rPr>
          <w:bCs/>
          <w:b/>
        </w:rPr>
        <w:t xml:space="preserve">I’ve used SAP before. Will this be obvious?</w:t>
      </w:r>
    </w:p>
    <w:p>
      <w:pPr>
        <w:pStyle w:val="BodyText"/>
      </w:pPr>
      <w:r>
        <w:t xml:space="preserve">Some of it, and the Foundations guide may feel fast. But </w:t>
      </w:r>
      <w:r>
        <w:rPr>
          <w:bCs/>
          <w:b/>
        </w:rPr>
        <w:t xml:space="preserve">using SAP is not the same as understanding why its architecture is built the way it is</w:t>
      </w:r>
      <w:r>
        <w:t xml:space="preserve"> — and that understanding is what matters here.</w:t>
      </w:r>
    </w:p>
    <w:p>
      <w:pPr>
        <w:pStyle w:val="BodyText"/>
      </w:pPr>
      <w:r>
        <w:t xml:space="preserve">You will also be asked for the one thing you wish somebody had told you in your first week with SAP. Start thinking about it.</w:t>
      </w:r>
    </w:p>
    <w:p>
      <w:pPr>
        <w:pStyle w:val="BodyText"/>
      </w:pPr>
      <w:r>
        <w:rPr>
          <w:bCs/>
          <w:b/>
        </w:rPr>
        <w:t xml:space="preserve">What happens if I miss a session?</w:t>
      </w:r>
    </w:p>
    <w:p>
      <w:pPr>
        <w:pStyle w:val="BodyText"/>
      </w:pPr>
      <w:r>
        <w:t xml:space="preserve">Tell the facilitator in advance if you can. Sessions build on each other, so read the relevant Reading Pack carefully and bring your questions to the next Saturday.</w:t>
      </w:r>
    </w:p>
    <w:p>
      <w:pPr>
        <w:pStyle w:val="BodyText"/>
      </w:pPr>
      <w:r>
        <w:rPr>
          <w:bCs/>
          <w:b/>
        </w:rPr>
        <w:t xml:space="preserve">Can I ask questions between sessions?</w:t>
      </w:r>
    </w:p>
    <w:p>
      <w:pPr>
        <w:pStyle w:val="BodyText"/>
      </w:pPr>
      <w:r>
        <w:t xml:space="preserve">Yes, and you should. The Thursday deadline is for questions you want answered </w:t>
      </w:r>
      <w:r>
        <w:rPr>
          <w:bCs/>
          <w:b/>
        </w:rPr>
        <w:t xml:space="preserve">in the session.</w:t>
      </w:r>
      <w:r>
        <w:t xml:space="preserve"> Anything blocking your progress should be raised the moment it becomes a problem.</w:t>
      </w:r>
    </w:p>
    <w:p>
      <w:r>
        <w:pict>
          <v:rect style="width:0;height:1.5pt" o:hralign="center" o:hrstd="t" o:hr="t"/>
        </w:pict>
      </w:r>
    </w:p>
    <w:bookmarkEnd w:id="42"/>
    <w:bookmarkStart w:id="43" w:name="where-everything-is"/>
    <w:p>
      <w:pPr>
        <w:pStyle w:val="Heading1"/>
      </w:pPr>
      <w:r>
        <w:t xml:space="preserve">Where everything is</w:t>
      </w:r>
    </w:p>
    <w:p>
      <w:pPr>
        <w:pStyle w:val="SourceCode"/>
      </w:pPr>
      <w:r>
        <w:rPr>
          <w:rStyle w:val="VerbatimChar"/>
        </w:rPr>
        <w:t xml:space="preserve">STUDENT-PACK/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00-START-HERE/</w:t>
      </w:r>
      <w:r>
        <w:br/>
      </w:r>
      <w:r>
        <w:rPr>
          <w:rStyle w:val="VerbatimChar"/>
        </w:rPr>
        <w:t xml:space="preserve">│     Student Handbook · Course Schedule</w:t>
      </w:r>
      <w:r>
        <w:br/>
      </w:r>
      <w:r>
        <w:rPr>
          <w:rStyle w:val="VerbatimChar"/>
        </w:rPr>
        <w:t xml:space="preserve">│     Question Submission Template · Navigation Guide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01-PRE-CLASS/</w:t>
      </w:r>
      <w:r>
        <w:br/>
      </w:r>
      <w:r>
        <w:rPr>
          <w:rStyle w:val="VerbatimChar"/>
        </w:rPr>
        <w:t xml:space="preserve">│     The three pre-class guides · Reading Plan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02-MAIN-COURSE/</w:t>
      </w:r>
      <w:r>
        <w:br/>
      </w:r>
      <w:r>
        <w:rPr>
          <w:rStyle w:val="VerbatimChar"/>
        </w:rPr>
        <w:t xml:space="preserve">│     Syllabus · Reading Packs 1–6</w:t>
      </w:r>
      <w:r>
        <w:br/>
      </w:r>
      <w:r>
        <w:rPr>
          <w:rStyle w:val="VerbatimChar"/>
        </w:rPr>
        <w:t xml:space="preserve">│     Templates — Planning Card, Workpaper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03-POST-CLASS/</w:t>
      </w:r>
      <w:r>
        <w:br/>
      </w:r>
      <w:r>
        <w:rPr>
          <w:rStyle w:val="VerbatimChar"/>
        </w:rPr>
        <w:t xml:space="preserve">      Course Summaries · Training Manuals</w:t>
      </w:r>
      <w:r>
        <w:br/>
      </w:r>
      <w:r>
        <w:rPr>
          <w:rStyle w:val="VerbatimChar"/>
        </w:rPr>
        <w:t xml:space="preserve">      Post-Class Reading Plan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Welcome on board. See you at your first session.</w:t>
      </w:r>
    </w:p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264" w:lineRule="auto"/>
    </w:pPr>
    <w:rPr>
      <w:rFonts w:ascii="Calibri" w:cs="Calibri" w:hAnsi="Calibri"/>
      <w:color w:val="1F2933"/>
      <w:sz w:val="21"/>
      <w:szCs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Normal"/>
    <w:qFormat/>
    <w:pPr>
      <w:keepNext/>
      <w:spacing w:after="80" w:before="0"/>
      <w:pBdr>
        <w:bottom w:color="C87F16" w:space="6" w:sz="18" w:val="single"/>
      </w:pBdr>
    </w:pPr>
    <w:rPr>
      <w:rFonts w:ascii="Cambria" w:hAnsi="Cambria"/>
      <w:b/>
      <w:color w:val="12203A"/>
      <w:sz w:val="40"/>
      <w:szCs w:val="40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Normal"/>
    <w:qFormat/>
    <w:pPr>
      <w:keepNext/>
      <w:spacing w:after="140" w:before="360"/>
      <w:pBdr>
        <w:bottom w:color="D6DEEA" w:space="5" w:sz="8" w:val="single"/>
      </w:pBdr>
      <w:outlineLvl w:val="0"/>
    </w:pPr>
    <w:rPr>
      <w:rFonts w:ascii="Cambria" w:hAnsi="Cambria"/>
      <w:b/>
      <w:color w:val="1B3358"/>
      <w:sz w:val="30"/>
      <w:szCs w:val="30"/>
    </w:rPr>
  </w:style>
  <w:style w:styleId="Heading2" w:type="paragraph">
    <w:name w:val="heading 2"/>
    <w:basedOn w:val="Normal"/>
    <w:next w:val="Normal"/>
    <w:qFormat/>
    <w:pPr>
      <w:keepNext/>
      <w:spacing w:after="100" w:before="280"/>
      <w:outlineLvl w:val="1"/>
    </w:pPr>
    <w:rPr>
      <w:rFonts w:ascii="Cambria" w:hAnsi="Cambria"/>
      <w:b/>
      <w:color w:val="1B3358"/>
      <w:sz w:val="24"/>
      <w:szCs w:val="24"/>
    </w:rPr>
  </w:style>
  <w:style w:styleId="Heading3" w:type="paragraph">
    <w:name w:val="heading 3"/>
    <w:basedOn w:val="Normal"/>
    <w:next w:val="Normal"/>
    <w:qFormat/>
    <w:pPr>
      <w:keepNext/>
      <w:spacing w:after="80" w:before="240"/>
      <w:outlineLvl w:val="2"/>
    </w:pPr>
    <w:rPr>
      <w:rFonts w:ascii="Calibri" w:hAnsi="Calibri"/>
      <w:b/>
      <w:color w:val="C87F16"/>
      <w:sz w:val="21"/>
      <w:szCs w:val="21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Normal"/>
    <w:pPr>
      <w:pBdr>
        <w:left w:color="C87F16" w:space="10" w:sz="18" w:val="single"/>
      </w:pBdr>
      <w:ind w:left="288"/>
      <w:spacing w:after="140" w:before="140"/>
    </w:pPr>
    <w:rPr>
      <w:i/>
      <w:color w:val="5A6B85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styleId="Table" w:type="table">
    <w:name w:val="Table"/>
    <w:basedOn w:val="TableNormal"/>
    <w:uiPriority w:val="59"/>
    <w:pPr>
      <w:spacing w:after="40" w:before="40" w:line="240" w:lineRule="auto"/>
    </w:pPr>
    <w:rPr>
      <w:rFonts w:ascii="Calibri" w:hAnsi="Calibri"/>
      <w:sz w:val="19"/>
      <w:szCs w:val="19"/>
    </w:rPr>
    <w:tblPr>
      <w:tblBorders>
        <w:top w:color="D6DEEA" w:space="0" w:sz="4" w:val="single"/>
        <w:left w:color="auto" w:space="0" w:sz="0" w:val="none"/>
        <w:bottom w:color="D6DEEA" w:space="0" w:sz="4" w:val="single"/>
        <w:right w:color="auto" w:space="0" w:sz="0" w:val="none"/>
        <w:insideH w:color="D6DEEA" w:space="0" w:sz="4" w:val="single"/>
        <w:insideV w:color="auto" w:space="0" w:sz="0" w:val="none"/>
      </w:tblBorders>
      <w:tblCellMar>
        <w:top w:type="dxa" w:w="72"/>
        <w:left w:type="dxa" w:w="108"/>
        <w:bottom w:type="dxa" w:w="72"/>
        <w:right w:type="dxa" w:w="108"/>
      </w:tblCellMar>
    </w:tblPr>
    <w:tblStylePr w:type="firstRow">
      <w:pPr>
        <w:spacing w:after="60" w:before="60"/>
      </w:pPr>
      <w:rPr>
        <w:rFonts w:ascii="Calibri" w:hAnsi="Calibri"/>
        <w:b/>
        <w:color w:val="FFFFFF"/>
        <w:sz w:val="19"/>
      </w:rPr>
      <w:tcPr>
        <w:shd w:color="auto" w:fill="1B3358" w:val="clear"/>
        <w:tcBorders>
          <w:bottom w:color="1B3358" w:space="0" w:sz="4" w:val="single"/>
        </w:tcBorders>
      </w:tcPr>
    </w:tblStylePr>
    <w:tblStylePr w:type="band2Horz">
      <w:tcPr>
        <w:shd w:color="auto" w:fill="F5F8FC" w:val="clear"/>
      </w:tcPr>
    </w:tblStylePr>
    <w:tblStylePr w:type="firstCol">
      <w:rPr>
        <w:b/>
        <w:color w:val="1B3358"/>
      </w:r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SAP SOX / ITGC Controls — Course 1</dc:title>
  <dc:creator>TIB Systems · 5 September to 3 October 2026 · Nigeria &amp; UK and US cohorts</dc:creator>
  <cp:keywords/>
  <dcterms:created xsi:type="dcterms:W3CDTF">2026-09-05T23:33:21Z</dcterms:created>
  <dcterms:modified xsi:type="dcterms:W3CDTF">2026-09-05T23:33:21Z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Student Handbook · Your guide to the four weeks</vt:lpwstr>
  </property>
</Properties>
</file>