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Calibri" w:cs="Calibri" w:eastAsia="Calibri" w:hAnsi="Calibri"/>
          <w:b/>
          <w:bCs/>
          <w:color w:val="8F5D18"/>
          <w:sz w:val="18"/>
          <w:szCs w:val="18"/>
        </w:rPr>
        <w:t xml:space="preserve">TIB SYSTEMS LLC  ·  SAP SECURITY, GRC &amp; CONTROLS ACADEMY</w:t>
      </w:r>
    </w:p>
    <w:p>
      <w:pPr>
        <w:spacing w:after="60"/>
      </w:pPr>
      <w:r>
        <w:rPr>
          <w:rFonts w:ascii="Cambria" w:cs="Cambria" w:eastAsia="Cambria" w:hAnsi="Cambria"/>
          <w:b/>
          <w:bCs/>
          <w:color w:val="1B3358"/>
          <w:sz w:val="40"/>
          <w:szCs w:val="40"/>
        </w:rPr>
        <w:t xml:space="preserve">Beyond the Core — Self-Paced Library</w:t>
      </w:r>
    </w:p>
    <w:p>
      <w:pPr>
        <w:spacing w:after="160"/>
      </w:pPr>
      <w:r>
        <w:rPr>
          <w:rFonts w:ascii="Calibri" w:cs="Calibri" w:eastAsia="Calibri" w:hAnsi="Calibri"/>
          <w:i/>
          <w:iCs/>
          <w:color w:val="4A5872"/>
          <w:sz w:val="23"/>
          <w:szCs w:val="23"/>
        </w:rPr>
        <w:t xml:space="preserve">The 23 Books outside the live course: what each covers and who should read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9"/>
                <w:szCs w:val="19"/>
              </w:rPr>
              <w:t xml:space="preserve">Document</w:t>
            </w:r>
          </w:p>
        </w:tc>
        <w:tc>
          <w:tcPr>
            <w:tcW w:type="dxa" w:w="748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9"/>
                <w:szCs w:val="19"/>
              </w:rPr>
              <w:t xml:space="preserve">Detail</w:t>
            </w:r>
          </w:p>
        </w:tc>
      </w:tr>
      <w:tr>
        <w:trPr>
          <w:cantSplit/>
        </w:trPr>
        <w:tc>
          <w:tcPr>
            <w:tcW w:type="dxa" w:w="26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Document code</w:t>
            </w:r>
          </w:p>
        </w:tc>
        <w:tc>
          <w:tcPr>
            <w:tcW w:type="dxa" w:w="74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TIB-FS-STU-010</w:t>
            </w:r>
          </w:p>
        </w:tc>
      </w:tr>
      <w:tr>
        <w:trPr>
          <w:cantSplit/>
        </w:trPr>
        <w:tc>
          <w:tcPr>
            <w:tcW w:type="dxa" w:w="26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Course</w:t>
            </w:r>
          </w:p>
        </w:tc>
        <w:tc>
          <w:tcPr>
            <w:tcW w:type="dxa" w:w="74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Course 1 — The Full Sweep (live SAP SOX/ITGC cohort)</w:t>
            </w:r>
          </w:p>
        </w:tc>
      </w:tr>
      <w:tr>
        <w:trPr>
          <w:cantSplit/>
        </w:trPr>
        <w:tc>
          <w:tcPr>
            <w:tcW w:type="dxa" w:w="26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Version</w:t>
            </w:r>
          </w:p>
        </w:tc>
        <w:tc>
          <w:tcPr>
            <w:tcW w:type="dxa" w:w="74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V1 — October 2026 restructure</w:t>
            </w:r>
          </w:p>
        </w:tc>
      </w:tr>
      <w:tr>
        <w:trPr>
          <w:cantSplit/>
        </w:trPr>
        <w:tc>
          <w:tcPr>
            <w:tcW w:type="dxa" w:w="26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Scenario vehicle</w:t>
            </w:r>
          </w:p>
        </w:tc>
        <w:tc>
          <w:tcPr>
            <w:tcW w:type="dxa" w:w="74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Thornfield Industrial Group</w:t>
            </w:r>
          </w:p>
        </w:tc>
      </w:tr>
      <w:tr>
        <w:trPr>
          <w:cantSplit/>
        </w:trPr>
        <w:tc>
          <w:tcPr>
            <w:tcW w:type="dxa" w:w="26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Audience</w:t>
            </w:r>
          </w:p>
        </w:tc>
        <w:tc>
          <w:tcPr>
            <w:tcW w:type="dxa" w:w="74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Trainees</w:t>
            </w:r>
          </w:p>
        </w:tc>
      </w:tr>
    </w:tbl>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F8FC" w:sz="4"/>
              <w:left w:val="single" w:color="1F6B67" w:sz="24"/>
              <w:bottom w:val="single" w:color="F5F8FC" w:sz="4"/>
              <w:right w:val="single" w:color="F5F8FC" w:sz="4"/>
            </w:tcBorders>
            <w:shd w:fill="F5F8FC" w:color="auto" w:val="clear"/>
            <w:tcMar>
              <w:top w:type="dxa" w:w="100"/>
              <w:left w:type="dxa" w:w="160"/>
              <w:bottom w:type="dxa" w:w="100"/>
              <w:right w:type="dxa" w:w="160"/>
            </w:tcMar>
          </w:tcPr>
          <w:p>
            <w:pPr>
              <w:spacing w:after="40" w:line="240"/>
            </w:pPr>
            <w:r>
              <w:rPr>
                <w:rFonts w:ascii="Calibri" w:cs="Calibri" w:eastAsia="Calibri" w:hAnsi="Calibri"/>
                <w:b/>
                <w:bCs/>
                <w:color w:val="1F6B67"/>
                <w:sz w:val="20"/>
                <w:szCs w:val="20"/>
              </w:rPr>
              <w:t xml:space="preserve">HOW TO USE THIS LIBRARY</w:t>
            </w:r>
          </w:p>
          <w:p>
            <w:pPr>
              <w:spacing w:after="30" w:line="240"/>
            </w:pPr>
            <w:r>
              <w:rPr>
                <w:rFonts w:ascii="Calibri" w:cs="Calibri" w:eastAsia="Calibri" w:hAnsi="Calibri"/>
                <w:sz w:val="20"/>
                <w:szCs w:val="20"/>
              </w:rPr>
              <w:t xml:space="preserve">These Books are in the course app alongside the live ones, tagged “Beyond the Core · Self-paced”. Each has the same lab steps and completed workpaper exhibit.</w:t>
            </w:r>
          </w:p>
          <w:p>
            <w:pPr>
              <w:spacing w:after="30" w:line="240"/>
            </w:pPr>
            <w:r>
              <w:rPr>
                <w:rFonts w:ascii="Calibri" w:cs="Calibri" w:eastAsia="Calibri" w:hAnsi="Calibri"/>
                <w:sz w:val="20"/>
                <w:szCs w:val="20"/>
              </w:rPr>
              <w:t xml:space="preserve">They are not taught live and not required for your certificate. Use them after session 20, or earlier if you are ahead.</w:t>
            </w:r>
          </w:p>
          <w:p>
            <w:pPr>
              <w:spacing w:after="30" w:line="240"/>
            </w:pPr>
            <w:r>
              <w:rPr>
                <w:rFonts w:ascii="Calibri" w:cs="Calibri" w:eastAsia="Calibri" w:hAnsi="Calibri"/>
                <w:sz w:val="20"/>
                <w:szCs w:val="20"/>
              </w:rPr>
              <w:t xml:space="preserve">Start with the group that matches the jobs you are applying for (see “Best for”).</w:t>
            </w:r>
          </w:p>
        </w:tc>
      </w:tr>
    </w:tbl>
    <w:p>
      <w:pPr>
        <w:pStyle w:val="Heading2"/>
        <w:spacing w:after="80" w:before="180" w:line="240"/>
      </w:pPr>
      <w:r>
        <w:rPr>
          <w:rFonts w:ascii="Cambria" w:cs="Cambria" w:eastAsia="Cambria" w:hAnsi="Cambria"/>
          <w:b/>
          <w:bCs/>
          <w:color w:val="1B3358"/>
          <w:sz w:val="24"/>
          <w:szCs w:val="24"/>
        </w:rPr>
        <w:t xml:space="preserve">Extensions to the live Parts</w:t>
      </w:r>
    </w:p>
    <w:p>
      <w:pPr>
        <w:spacing w:after="80" w:before="0" w:line="240"/>
      </w:pPr>
      <w:r>
        <w:rPr>
          <w:rFonts w:ascii="Calibri" w:cs="Calibri" w:eastAsia="Calibri" w:hAnsi="Calibri"/>
          <w:b/>
          <w:bCs/>
          <w:color w:val="1F6B67"/>
          <w:sz w:val="21"/>
          <w:szCs w:val="21"/>
        </w:rPr>
        <w:t xml:space="preserve">Best for: </w:t>
      </w:r>
      <w:r>
        <w:rPr>
          <w:rFonts w:ascii="Calibri" w:cs="Calibri" w:eastAsia="Calibri" w:hAnsi="Calibri"/>
          <w:sz w:val="21"/>
          <w:szCs w:val="21"/>
        </w:rPr>
        <w:t xml:space="preserve">Anyone — deepens what you already tested live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6180"/>
      </w:tblGrid>
      <w:tr>
        <w:trPr>
          <w:tblHeader/>
        </w:trPr>
        <w:tc>
          <w:tcPr>
            <w:tcW w:type="dxa" w:w="9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Book</w:t>
            </w:r>
          </w:p>
        </w:tc>
        <w:tc>
          <w:tcPr>
            <w:tcW w:type="dxa" w:w="30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Title</w:t>
            </w:r>
          </w:p>
        </w:tc>
        <w:tc>
          <w:tcPr>
            <w:tcW w:type="dxa" w:w="618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What you do</w:t>
            </w:r>
          </w:p>
        </w:tc>
      </w:tr>
      <w:tr>
        <w:trPr>
          <w:cantSplit/>
        </w:trPr>
        <w:tc>
          <w:tcPr>
            <w:tcW w:type="dxa" w:w="9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5</w:t>
            </w:r>
          </w:p>
        </w:tc>
        <w:tc>
          <w:tcPr>
            <w:tcW w:type="dxa" w:w="30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The Cutover — Change Management at Scale</w:t>
            </w:r>
          </w:p>
        </w:tc>
        <w:tc>
          <w:tcPr>
            <w:tcW w:type="dxa" w:w="61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Apply the same transport-to-approval testing methodology as Book 2, but across a high-volume system upgrade/cutover event, confirming the process held under real volume.</w:t>
            </w:r>
          </w:p>
        </w:tc>
      </w:tr>
      <w:tr>
        <w:trPr>
          <w:cantSplit/>
        </w:trPr>
        <w:tc>
          <w:tcPr>
            <w:tcW w:type="dxa" w:w="9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8</w:t>
            </w:r>
          </w:p>
        </w:tc>
        <w:tc>
          <w:tcPr>
            <w:tcW w:type="dxa" w:w="30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The Third Party — Vendor-Executed Change Testing</w:t>
            </w:r>
          </w:p>
        </w:tc>
        <w:tc>
          <w:tcPr>
            <w:tcW w:type="dxa" w:w="61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Confirm that changes executed by an outsourced/managed-services vendor carry the same evidentiary trail as internally executed changes, per the contractually required format.</w:t>
            </w:r>
          </w:p>
        </w:tc>
      </w:tr>
      <w:tr>
        <w:trPr>
          <w:cantSplit/>
        </w:trPr>
        <w:tc>
          <w:tcPr>
            <w:tcW w:type="dxa" w:w="9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6</w:t>
            </w:r>
          </w:p>
        </w:tc>
        <w:tc>
          <w:tcPr>
            <w:tcW w:type="dxa" w:w="30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The Other Ledger — Acquired-Entity Controls Assessment</w:t>
            </w:r>
          </w:p>
        </w:tc>
        <w:tc>
          <w:tcPr>
            <w:tcW w:type="dxa" w:w="61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Assess whether an acquired entity's manual journal entry review control is genuinely system-enforced or exists only as an unenforced policy, and confirm the interim compensating control's evidence trail.</w:t>
            </w:r>
          </w:p>
        </w:tc>
      </w:tr>
      <w:tr>
        <w:trPr>
          <w:cantSplit/>
        </w:trPr>
        <w:tc>
          <w:tcPr>
            <w:tcW w:type="dxa" w:w="9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9</w:t>
            </w:r>
          </w:p>
        </w:tc>
        <w:tc>
          <w:tcPr>
            <w:tcW w:type="dxa" w:w="30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The Tip Line — Investigating a Specific Journal Entry</w:t>
            </w:r>
          </w:p>
        </w:tc>
        <w:tc>
          <w:tcPr>
            <w:tcW w:type="dxa" w:w="61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Reconstruct the full history and underlying support for a specific journal entry flagged by an anonymous tip, independent of the original tester's prior conclusion.</w:t>
            </w:r>
          </w:p>
        </w:tc>
      </w:tr>
      <w:tr>
        <w:trPr>
          <w:cantSplit/>
        </w:trPr>
        <w:tc>
          <w:tcPr>
            <w:tcW w:type="dxa" w:w="9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15</w:t>
            </w:r>
          </w:p>
        </w:tc>
        <w:tc>
          <w:tcPr>
            <w:tcW w:type="dxa" w:w="30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The Risk Register — GRC Risk Management Testing</w:t>
            </w:r>
          </w:p>
        </w:tc>
        <w:tc>
          <w:tcPr>
            <w:tcW w:type="dxa" w:w="61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Confirm every risk marked "mitigated" in the enterprise risk register actually references a real, currently active, tested control.</w:t>
            </w:r>
          </w:p>
        </w:tc>
      </w:tr>
      <w:tr>
        <w:trPr>
          <w:cantSplit/>
        </w:trPr>
        <w:tc>
          <w:tcPr>
            <w:tcW w:type="dxa" w:w="9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28</w:t>
            </w:r>
          </w:p>
        </w:tc>
        <w:tc>
          <w:tcPr>
            <w:tcW w:type="dxa" w:w="30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The Depreciation That Kept Running — Fixed Asset Depreciation Parameter Testing</w:t>
            </w:r>
          </w:p>
        </w:tc>
        <w:tc>
          <w:tcPr>
            <w:tcW w:type="dxa" w:w="61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Confirm that depreciation is running on the correct parameters — not just running successfully — for assets that transferred in through an acquisition.</w:t>
            </w:r>
          </w:p>
        </w:tc>
      </w:tr>
    </w:tbl>
    <w:p>
      <w:pPr>
        <w:pStyle w:val="Heading2"/>
        <w:spacing w:after="80" w:before="180" w:line="240"/>
      </w:pPr>
      <w:r>
        <w:rPr>
          <w:rFonts w:ascii="Cambria" w:cs="Cambria" w:eastAsia="Cambria" w:hAnsi="Cambria"/>
          <w:b/>
          <w:bCs/>
          <w:color w:val="1B3358"/>
          <w:sz w:val="24"/>
          <w:szCs w:val="24"/>
        </w:rPr>
        <w:t xml:space="preserve">Part V — Governance, Disclosure &amp; Executive Reporting</w:t>
      </w:r>
    </w:p>
    <w:p>
      <w:pPr>
        <w:spacing w:after="80" w:before="0" w:line="240"/>
      </w:pPr>
      <w:r>
        <w:rPr>
          <w:rFonts w:ascii="Calibri" w:cs="Calibri" w:eastAsia="Calibri" w:hAnsi="Calibri"/>
          <w:b/>
          <w:bCs/>
          <w:color w:val="1F6B67"/>
          <w:sz w:val="21"/>
          <w:szCs w:val="21"/>
        </w:rPr>
        <w:t xml:space="preserve">Best for: </w:t>
      </w:r>
      <w:r>
        <w:rPr>
          <w:rFonts w:ascii="Calibri" w:cs="Calibri" w:eastAsia="Calibri" w:hAnsi="Calibri"/>
          <w:sz w:val="21"/>
          <w:szCs w:val="21"/>
        </w:rPr>
        <w:t xml:space="preserve">Roles heading toward manager, SOX PMO or SEC reporting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6180"/>
      </w:tblGrid>
      <w:tr>
        <w:trPr>
          <w:tblHeader/>
        </w:trPr>
        <w:tc>
          <w:tcPr>
            <w:tcW w:type="dxa" w:w="9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Book</w:t>
            </w:r>
          </w:p>
        </w:tc>
        <w:tc>
          <w:tcPr>
            <w:tcW w:type="dxa" w:w="30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Title</w:t>
            </w:r>
          </w:p>
        </w:tc>
        <w:tc>
          <w:tcPr>
            <w:tcW w:type="dxa" w:w="618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What you do</w:t>
            </w:r>
          </w:p>
        </w:tc>
      </w:tr>
      <w:tr>
        <w:trPr>
          <w:cantSplit/>
        </w:trPr>
        <w:tc>
          <w:tcPr>
            <w:tcW w:type="dxa" w:w="9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10</w:t>
            </w:r>
          </w:p>
        </w:tc>
        <w:tc>
          <w:tcPr>
            <w:tcW w:type="dxa" w:w="30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The Signature Page — Supporting Executive &amp; Board Reporting</w:t>
            </w:r>
          </w:p>
        </w:tc>
        <w:tc>
          <w:tcPr>
            <w:tcW w:type="dxa" w:w="61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As a junior consultant, your role is to ensure every deficiency in your own testing population is completely and accurately reflected in the underlying tracker your Senior Lead uses to brief the Compliance Director and, ultimately, the CFO.</w:t>
            </w:r>
          </w:p>
        </w:tc>
      </w:tr>
      <w:tr>
        <w:trPr>
          <w:cantSplit/>
        </w:trPr>
        <w:tc>
          <w:tcPr>
            <w:tcW w:type="dxa" w:w="9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11</w:t>
            </w:r>
          </w:p>
        </w:tc>
        <w:tc>
          <w:tcPr>
            <w:tcW w:type="dxa" w:w="30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The Comment Letter — Supporting an SEC Response</w:t>
            </w:r>
          </w:p>
        </w:tc>
        <w:tc>
          <w:tcPr>
            <w:tcW w:type="dxa" w:w="61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As a junior consultant, your role in an SEC comment letter response is to accurately assemble and organize the underlying evidence file — not to draft the legal response itself.</w:t>
            </w:r>
          </w:p>
        </w:tc>
      </w:tr>
      <w:tr>
        <w:trPr>
          <w:cantSplit/>
        </w:trPr>
        <w:tc>
          <w:tcPr>
            <w:tcW w:type="dxa" w:w="9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12</w:t>
            </w:r>
          </w:p>
        </w:tc>
        <w:tc>
          <w:tcPr>
            <w:tcW w:type="dxa" w:w="30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The Four-Day Clock — Supporting a Disclosure Controls Review</w:t>
            </w:r>
          </w:p>
        </w:tc>
        <w:tc>
          <w:tcPr>
            <w:tcW w:type="dxa" w:w="61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Recognize when a finding from your own routine testing might carry disclosure implications outside standard ICFR testing, and escalate immediately rather than treating it as a routine finding.</w:t>
            </w:r>
          </w:p>
        </w:tc>
      </w:tr>
    </w:tbl>
    <w:p>
      <w:pPr>
        <w:pStyle w:val="Heading2"/>
        <w:spacing w:after="80" w:before="180" w:line="240"/>
      </w:pPr>
      <w:r>
        <w:rPr>
          <w:rFonts w:ascii="Cambria" w:cs="Cambria" w:eastAsia="Cambria" w:hAnsi="Cambria"/>
          <w:b/>
          <w:bCs/>
          <w:color w:val="1B3358"/>
          <w:sz w:val="24"/>
          <w:szCs w:val="24"/>
        </w:rPr>
        <w:t xml:space="preserve">Part VI — Legal &amp; Compliance Adjacent Scope</w:t>
      </w:r>
    </w:p>
    <w:p>
      <w:pPr>
        <w:spacing w:after="80" w:before="0" w:line="240"/>
      </w:pPr>
      <w:r>
        <w:rPr>
          <w:rFonts w:ascii="Calibri" w:cs="Calibri" w:eastAsia="Calibri" w:hAnsi="Calibri"/>
          <w:b/>
          <w:bCs/>
          <w:color w:val="1F6B67"/>
          <w:sz w:val="21"/>
          <w:szCs w:val="21"/>
        </w:rPr>
        <w:t xml:space="preserve">Best for: </w:t>
      </w:r>
      <w:r>
        <w:rPr>
          <w:rFonts w:ascii="Calibri" w:cs="Calibri" w:eastAsia="Calibri" w:hAnsi="Calibri"/>
          <w:sz w:val="21"/>
          <w:szCs w:val="21"/>
        </w:rPr>
        <w:t xml:space="preserve">Privacy, data retention and SAP licensing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6180"/>
      </w:tblGrid>
      <w:tr>
        <w:trPr>
          <w:tblHeader/>
        </w:trPr>
        <w:tc>
          <w:tcPr>
            <w:tcW w:type="dxa" w:w="9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Book</w:t>
            </w:r>
          </w:p>
        </w:tc>
        <w:tc>
          <w:tcPr>
            <w:tcW w:type="dxa" w:w="30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Title</w:t>
            </w:r>
          </w:p>
        </w:tc>
        <w:tc>
          <w:tcPr>
            <w:tcW w:type="dxa" w:w="618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What you do</w:t>
            </w:r>
          </w:p>
        </w:tc>
      </w:tr>
      <w:tr>
        <w:trPr>
          <w:cantSplit/>
        </w:trPr>
        <w:tc>
          <w:tcPr>
            <w:tcW w:type="dxa" w:w="9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21</w:t>
            </w:r>
          </w:p>
        </w:tc>
        <w:tc>
          <w:tcPr>
            <w:tcW w:type="dxa" w:w="30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The Retention Policy — Data Privacy / Retention Testing</w:t>
            </w:r>
          </w:p>
        </w:tc>
        <w:tc>
          <w:tcPr>
            <w:tcW w:type="dxa" w:w="61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Confirm that personal data (former employee or vendor contact records) is not retained in the live system beyond its stated retention policy limit.</w:t>
            </w:r>
          </w:p>
        </w:tc>
      </w:tr>
      <w:tr>
        <w:trPr>
          <w:cantSplit/>
        </w:trPr>
        <w:tc>
          <w:tcPr>
            <w:tcW w:type="dxa" w:w="9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22</w:t>
            </w:r>
          </w:p>
        </w:tc>
        <w:tc>
          <w:tcPr>
            <w:tcW w:type="dxa" w:w="30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The Indirect Access — SAP Licensing Exposure Testing</w:t>
            </w:r>
          </w:p>
        </w:tc>
        <w:tc>
          <w:tcPr>
            <w:tcW w:type="dxa" w:w="61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Identify transaction volume flowing into SAP from third-party or self-service systems under a generic/service user ID, and confirm whether that access pattern has been evaluated for licensing implications.</w:t>
            </w:r>
          </w:p>
        </w:tc>
      </w:tr>
    </w:tbl>
    <w:p>
      <w:pPr>
        <w:pStyle w:val="Heading2"/>
        <w:spacing w:after="80" w:before="180" w:line="240"/>
      </w:pPr>
      <w:r>
        <w:rPr>
          <w:rFonts w:ascii="Cambria" w:cs="Cambria" w:eastAsia="Cambria" w:hAnsi="Cambria"/>
          <w:b/>
          <w:bCs/>
          <w:color w:val="1B3358"/>
          <w:sz w:val="24"/>
          <w:szCs w:val="24"/>
        </w:rPr>
        <w:t xml:space="preserve">Part IX — Treasury &amp; Tax Controls</w:t>
      </w:r>
    </w:p>
    <w:p>
      <w:pPr>
        <w:spacing w:after="80" w:before="0" w:line="240"/>
      </w:pPr>
      <w:r>
        <w:rPr>
          <w:rFonts w:ascii="Calibri" w:cs="Calibri" w:eastAsia="Calibri" w:hAnsi="Calibri"/>
          <w:b/>
          <w:bCs/>
          <w:color w:val="1F6B67"/>
          <w:sz w:val="21"/>
          <w:szCs w:val="21"/>
        </w:rPr>
        <w:t xml:space="preserve">Best for: </w:t>
      </w:r>
      <w:r>
        <w:rPr>
          <w:rFonts w:ascii="Calibri" w:cs="Calibri" w:eastAsia="Calibri" w:hAnsi="Calibri"/>
          <w:sz w:val="21"/>
          <w:szCs w:val="21"/>
        </w:rPr>
        <w:t xml:space="preserve">Treasury-heavy industries, tax-scoped engagements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6180"/>
      </w:tblGrid>
      <w:tr>
        <w:trPr>
          <w:tblHeader/>
        </w:trPr>
        <w:tc>
          <w:tcPr>
            <w:tcW w:type="dxa" w:w="9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Book</w:t>
            </w:r>
          </w:p>
        </w:tc>
        <w:tc>
          <w:tcPr>
            <w:tcW w:type="dxa" w:w="30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Title</w:t>
            </w:r>
          </w:p>
        </w:tc>
        <w:tc>
          <w:tcPr>
            <w:tcW w:type="dxa" w:w="618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What you do</w:t>
            </w:r>
          </w:p>
        </w:tc>
      </w:tr>
      <w:tr>
        <w:trPr>
          <w:cantSplit/>
        </w:trPr>
        <w:tc>
          <w:tcPr>
            <w:tcW w:type="dxa" w:w="9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31</w:t>
            </w:r>
          </w:p>
        </w:tc>
        <w:tc>
          <w:tcPr>
            <w:tcW w:type="dxa" w:w="30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The Uncleared Item — Bank Reconciliation Testing</w:t>
            </w:r>
          </w:p>
        </w:tc>
        <w:tc>
          <w:tcPr>
            <w:tcW w:type="dxa" w:w="61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Confirm that items sitting in the bank clearing account are being investigated and cleared within the policy timeframe, not accumulating as an unmonitored backlog that could mask fraud or error.</w:t>
            </w:r>
          </w:p>
        </w:tc>
      </w:tr>
      <w:tr>
        <w:trPr>
          <w:cantSplit/>
        </w:trPr>
        <w:tc>
          <w:tcPr>
            <w:tcW w:type="dxa" w:w="9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32</w:t>
            </w:r>
          </w:p>
        </w:tc>
        <w:tc>
          <w:tcPr>
            <w:tcW w:type="dxa" w:w="30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The Rate That Didn't Update — Tax Configuration Change Testing</w:t>
            </w:r>
          </w:p>
        </w:tc>
        <w:tc>
          <w:tcPr>
            <w:tcW w:type="dxa" w:w="61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Confirm that a change to a tax code's rate was tested, approved, and moved to production on schedule — and quantify what happened to transactions caught in the gap if it wasn't.</w:t>
            </w:r>
          </w:p>
        </w:tc>
      </w:tr>
      <w:tr>
        <w:trPr>
          <w:cantSplit/>
        </w:trPr>
        <w:tc>
          <w:tcPr>
            <w:tcW w:type="dxa" w:w="9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41</w:t>
            </w:r>
          </w:p>
        </w:tc>
        <w:tc>
          <w:tcPr>
            <w:tcW w:type="dxa" w:w="30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The Hedge That Wasn't Documented — FX Hedge Accounting Effectiveness Testing</w:t>
            </w:r>
          </w:p>
        </w:tc>
        <w:tc>
          <w:tcPr>
            <w:tcW w:type="dxa" w:w="61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Confirm that an FX hedge relationship carries the IFRS 9/ASC 815-required designation memo and effectiveness testing documentation — not just a completed trade with a favorable outcome.</w:t>
            </w:r>
          </w:p>
        </w:tc>
      </w:tr>
      <w:tr>
        <w:trPr>
          <w:cantSplit/>
        </w:trPr>
        <w:tc>
          <w:tcPr>
            <w:tcW w:type="dxa" w:w="9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42</w:t>
            </w:r>
          </w:p>
        </w:tc>
        <w:tc>
          <w:tcPr>
            <w:tcW w:type="dxa" w:w="30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The In-House Bank — In-House Cash / Intercompany Netting SoD Testing</w:t>
            </w:r>
          </w:p>
        </w:tc>
        <w:tc>
          <w:tcPr>
            <w:tcW w:type="dxa" w:w="61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Confirm that intercompany payments processed through Thornfield's In-House Cash center carry the same segregation-of-duties controls as an external payment run — not a lighter-touch process just because the cash never leaves the group.</w:t>
            </w:r>
          </w:p>
        </w:tc>
      </w:tr>
    </w:tbl>
    <w:p>
      <w:pPr>
        <w:pStyle w:val="Heading2"/>
        <w:spacing w:after="80" w:before="180" w:line="240"/>
      </w:pPr>
      <w:r>
        <w:rPr>
          <w:rFonts w:ascii="Cambria" w:cs="Cambria" w:eastAsia="Cambria" w:hAnsi="Cambria"/>
          <w:b/>
          <w:bCs/>
          <w:color w:val="1B3358"/>
          <w:sz w:val="24"/>
          <w:szCs w:val="24"/>
        </w:rPr>
        <w:t xml:space="preserve">Part X — Adjacent Tools &amp; Emerging Practice</w:t>
      </w:r>
    </w:p>
    <w:p>
      <w:pPr>
        <w:spacing w:after="80" w:before="0" w:line="240"/>
      </w:pPr>
      <w:r>
        <w:rPr>
          <w:rFonts w:ascii="Calibri" w:cs="Calibri" w:eastAsia="Calibri" w:hAnsi="Calibri"/>
          <w:b/>
          <w:bCs/>
          <w:color w:val="1F6B67"/>
          <w:sz w:val="21"/>
          <w:szCs w:val="21"/>
        </w:rPr>
        <w:t xml:space="preserve">Best for: </w:t>
      </w:r>
      <w:r>
        <w:rPr>
          <w:rFonts w:ascii="Calibri" w:cs="Calibri" w:eastAsia="Calibri" w:hAnsi="Calibri"/>
          <w:sz w:val="21"/>
          <w:szCs w:val="21"/>
        </w:rPr>
        <w:t xml:space="preserve">Employers using Fastpath, Pathlock, SailPoint, AuditBoard; analytics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6180"/>
      </w:tblGrid>
      <w:tr>
        <w:trPr>
          <w:tblHeader/>
        </w:trPr>
        <w:tc>
          <w:tcPr>
            <w:tcW w:type="dxa" w:w="9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Book</w:t>
            </w:r>
          </w:p>
        </w:tc>
        <w:tc>
          <w:tcPr>
            <w:tcW w:type="dxa" w:w="30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Title</w:t>
            </w:r>
          </w:p>
        </w:tc>
        <w:tc>
          <w:tcPr>
            <w:tcW w:type="dxa" w:w="618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What you do</w:t>
            </w:r>
          </w:p>
        </w:tc>
      </w:tr>
      <w:tr>
        <w:trPr>
          <w:cantSplit/>
        </w:trPr>
        <w:tc>
          <w:tcPr>
            <w:tcW w:type="dxa" w:w="9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33</w:t>
            </w:r>
          </w:p>
        </w:tc>
        <w:tc>
          <w:tcPr>
            <w:tcW w:type="dxa" w:w="30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The Other Platform — Third-Party GRC Tools vs. Native SAP GRC AC</w:t>
            </w:r>
          </w:p>
        </w:tc>
        <w:tc>
          <w:tcPr>
            <w:tcW w:type="dxa" w:w="61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Confirm which platform is authoritative for SoD risk analysis when a client runs both native SAP GRC Access Control and a third-party tool (Fastpath, Pathlock, SailPoint) side by side — and reconcile the difference before trusting either one's exception count.</w:t>
            </w:r>
          </w:p>
        </w:tc>
      </w:tr>
      <w:tr>
        <w:trPr>
          <w:cantSplit/>
        </w:trPr>
        <w:tc>
          <w:tcPr>
            <w:tcW w:type="dxa" w:w="9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34</w:t>
            </w:r>
          </w:p>
        </w:tc>
        <w:tc>
          <w:tcPr>
            <w:tcW w:type="dxa" w:w="30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The Spreadsheet That Found It — Data Analytics for Full-Population Testing</w:t>
            </w:r>
          </w:p>
        </w:tc>
        <w:tc>
          <w:tcPr>
            <w:tcW w:type="dxa" w:w="61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Recognize when a testing population is large enough that manual sampling risks missing a systemic issue, and use basic data-analytics tooling (SQL, Alteryx, Power BI, ACL) to test the full population instead of a small sample.</w:t>
            </w:r>
          </w:p>
        </w:tc>
      </w:tr>
      <w:tr>
        <w:trPr>
          <w:cantSplit/>
        </w:trPr>
        <w:tc>
          <w:tcPr>
            <w:tcW w:type="dxa" w:w="9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35</w:t>
            </w:r>
          </w:p>
        </w:tc>
        <w:tc>
          <w:tcPr>
            <w:tcW w:type="dxa" w:w="30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The Recommendation Nobody Checked — GRC 2026 / Joule-Assisted Review &amp; Continuous Controls Monitoring Awareness</w:t>
            </w:r>
          </w:p>
        </w:tc>
        <w:tc>
          <w:tcPr>
            <w:tcW w:type="dxa" w:w="61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Confirm that access-request approvers are still exercising independent judgment when SAP GRC 2026's Joule-assisted recommendations sit next to every request — not simply clicking whatever the AI suggests.</w:t>
            </w:r>
          </w:p>
        </w:tc>
      </w:tr>
    </w:tbl>
    <w:p>
      <w:pPr>
        <w:pStyle w:val="Heading2"/>
        <w:spacing w:after="80" w:before="180" w:line="240"/>
      </w:pPr>
      <w:r>
        <w:rPr>
          <w:rFonts w:ascii="Cambria" w:cs="Cambria" w:eastAsia="Cambria" w:hAnsi="Cambria"/>
          <w:b/>
          <w:bCs/>
          <w:color w:val="1B3358"/>
          <w:sz w:val="24"/>
          <w:szCs w:val="24"/>
        </w:rPr>
        <w:t xml:space="preserve">Part XII — Clean Core / RISE Governance</w:t>
      </w:r>
    </w:p>
    <w:p>
      <w:pPr>
        <w:spacing w:after="80" w:before="0" w:line="240"/>
      </w:pPr>
      <w:r>
        <w:rPr>
          <w:rFonts w:ascii="Calibri" w:cs="Calibri" w:eastAsia="Calibri" w:hAnsi="Calibri"/>
          <w:b/>
          <w:bCs/>
          <w:color w:val="1F6B67"/>
          <w:sz w:val="21"/>
          <w:szCs w:val="21"/>
        </w:rPr>
        <w:t xml:space="preserve">Best for: </w:t>
      </w:r>
      <w:r>
        <w:rPr>
          <w:rFonts w:ascii="Calibri" w:cs="Calibri" w:eastAsia="Calibri" w:hAnsi="Calibri"/>
          <w:sz w:val="21"/>
          <w:szCs w:val="21"/>
        </w:rPr>
        <w:t xml:space="preserve">S/4HANA Cloud and RISE migration programmes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6180"/>
      </w:tblGrid>
      <w:tr>
        <w:trPr>
          <w:tblHeader/>
        </w:trPr>
        <w:tc>
          <w:tcPr>
            <w:tcW w:type="dxa" w:w="9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Book</w:t>
            </w:r>
          </w:p>
        </w:tc>
        <w:tc>
          <w:tcPr>
            <w:tcW w:type="dxa" w:w="30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Title</w:t>
            </w:r>
          </w:p>
        </w:tc>
        <w:tc>
          <w:tcPr>
            <w:tcW w:type="dxa" w:w="618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What you do</w:t>
            </w:r>
          </w:p>
        </w:tc>
      </w:tr>
      <w:tr>
        <w:trPr>
          <w:cantSplit/>
        </w:trPr>
        <w:tc>
          <w:tcPr>
            <w:tcW w:type="dxa" w:w="9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40</w:t>
            </w:r>
          </w:p>
        </w:tc>
        <w:tc>
          <w:tcPr>
            <w:tcW w:type="dxa" w:w="30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The Control That Moved — Extensibility Classification, Transport Governance &amp; AI Code Review</w:t>
            </w:r>
          </w:p>
        </w:tc>
        <w:tc>
          <w:tcPr>
            <w:tcW w:type="dxa" w:w="61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As engagement manager, establish the governance checkpoints a control needs to survive Thornfield's move to S/4HANA Cloud under Clean Core — classify the custom object behind the control by extensibility level, confirm every transport touching it carries proper Clean Core sign-off, and review any AI-generated ABAP proposed as its replacement before it ever reaches production.</w:t>
            </w:r>
          </w:p>
        </w:tc>
      </w:tr>
    </w:tbl>
    <w:p>
      <w:pPr>
        <w:pStyle w:val="Heading2"/>
        <w:spacing w:after="80" w:before="180" w:line="240"/>
      </w:pPr>
      <w:r>
        <w:rPr>
          <w:rFonts w:ascii="Cambria" w:cs="Cambria" w:eastAsia="Cambria" w:hAnsi="Cambria"/>
          <w:b/>
          <w:bCs/>
          <w:color w:val="1B3358"/>
          <w:sz w:val="24"/>
          <w:szCs w:val="24"/>
        </w:rPr>
        <w:t xml:space="preserve">Part XIII — Payroll &amp; Personnel Controls</w:t>
      </w:r>
    </w:p>
    <w:p>
      <w:pPr>
        <w:spacing w:after="80" w:before="0" w:line="240"/>
      </w:pPr>
      <w:r>
        <w:rPr>
          <w:rFonts w:ascii="Calibri" w:cs="Calibri" w:eastAsia="Calibri" w:hAnsi="Calibri"/>
          <w:b/>
          <w:bCs/>
          <w:color w:val="1F6B67"/>
          <w:sz w:val="21"/>
          <w:szCs w:val="21"/>
        </w:rPr>
        <w:t xml:space="preserve">Best for: </w:t>
      </w:r>
      <w:r>
        <w:rPr>
          <w:rFonts w:ascii="Calibri" w:cs="Calibri" w:eastAsia="Calibri" w:hAnsi="Calibri"/>
          <w:sz w:val="21"/>
          <w:szCs w:val="21"/>
        </w:rPr>
        <w:t xml:space="preserve">HCM- and payroll-scoped engagements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6180"/>
      </w:tblGrid>
      <w:tr>
        <w:trPr>
          <w:tblHeader/>
        </w:trPr>
        <w:tc>
          <w:tcPr>
            <w:tcW w:type="dxa" w:w="9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Book</w:t>
            </w:r>
          </w:p>
        </w:tc>
        <w:tc>
          <w:tcPr>
            <w:tcW w:type="dxa" w:w="30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Title</w:t>
            </w:r>
          </w:p>
        </w:tc>
        <w:tc>
          <w:tcPr>
            <w:tcW w:type="dxa" w:w="618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What you do</w:t>
            </w:r>
          </w:p>
        </w:tc>
      </w:tr>
      <w:tr>
        <w:trPr>
          <w:cantSplit/>
        </w:trPr>
        <w:tc>
          <w:tcPr>
            <w:tcW w:type="dxa" w:w="9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43</w:t>
            </w:r>
          </w:p>
        </w:tc>
        <w:tc>
          <w:tcPr>
            <w:tcW w:type="dxa" w:w="30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The Employee Who Wasn't — Ghost Employee Testing</w:t>
            </w:r>
          </w:p>
        </w:tc>
        <w:tc>
          <w:tcPr>
            <w:tcW w:type="dxa" w:w="61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Confirm that every active employee record in the payroll master data represents a real, currently employed person — not a duplicate or fabricated identity sharing bank or address details with another "employee."</w:t>
            </w:r>
          </w:p>
        </w:tc>
      </w:tr>
      <w:tr>
        <w:trPr>
          <w:cantSplit/>
        </w:trPr>
        <w:tc>
          <w:tcPr>
            <w:tcW w:type="dxa" w:w="9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44</w:t>
            </w:r>
          </w:p>
        </w:tc>
        <w:tc>
          <w:tcPr>
            <w:tcW w:type="dxa" w:w="30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The Rate Nobody Signed Off — Unauthorized Pay Rate Change Testing</w:t>
            </w:r>
          </w:p>
        </w:tc>
        <w:tc>
          <w:tcPr>
            <w:tcW w:type="dxa" w:w="61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Confirm that every change to an employee's base pay rate carries a documented, independent approval before it takes effect in the next payroll run.</w:t>
            </w:r>
          </w:p>
        </w:tc>
      </w:tr>
      <w:tr>
        <w:trPr>
          <w:cantSplit/>
        </w:trPr>
        <w:tc>
          <w:tcPr>
            <w:tcW w:type="dxa" w:w="9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45</w:t>
            </w:r>
          </w:p>
        </w:tc>
        <w:tc>
          <w:tcPr>
            <w:tcW w:type="dxa" w:w="30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The Off-Cycle Exception — Off-Cycle / Bonus Payment SoD Testing</w:t>
            </w:r>
          </w:p>
        </w:tc>
        <w:tc>
          <w:tcPr>
            <w:tcW w:type="dxa" w:w="61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Confirm that off-cycle payroll payments — bonuses, corrections, severance — are requested and approved by different people, with the same rigor as a regular payroll run.</w:t>
            </w:r>
          </w:p>
        </w:tc>
      </w:tr>
      <w:tr>
        <w:trPr>
          <w:cantSplit/>
        </w:trPr>
        <w:tc>
          <w:tcPr>
            <w:tcW w:type="dxa" w:w="9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46</w:t>
            </w:r>
          </w:p>
        </w:tc>
        <w:tc>
          <w:tcPr>
            <w:tcW w:type="dxa" w:w="30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The Number That Didn't Match — Payroll-to-GL Reconciliation Testing</w:t>
            </w:r>
          </w:p>
        </w:tc>
        <w:tc>
          <w:tcPr>
            <w:tcW w:type="dxa" w:w="61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 xml:space="preserve">Confirm that the total payroll processed for the period is fully and accurately reflected in the general ledger — not just that the payroll run itself completed successfully.</w:t>
            </w:r>
          </w:p>
        </w:tc>
      </w:tr>
    </w:tbl>
    <w:sectPr>
      <w:headerReference w:type="default" r:id="rId6"/>
      <w:footerReference w:type="default" r:id="rId7"/>
      <w:pgSz w:w="12240" w:h="15840" w:orient="portrait"/>
      <w:pgMar w:top="1000" w:right="1080" w:bottom="10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Calibri" w:cs="Calibri" w:eastAsia="Calibri" w:hAnsi="Calibri"/>
        <w:color w:val="6B7A90"/>
        <w:sz w:val="16"/>
        <w:szCs w:val="16"/>
      </w:rPr>
      <w:t xml:space="preserve">Page </w:t>
    </w:r>
    <w:r>
      <w:rPr>
        <w:rFonts w:ascii="Calibri" w:cs="Calibri" w:eastAsia="Calibri" w:hAnsi="Calibri"/>
        <w:color w:val="6B7A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358" w:sz="6" w:space="4"/>
      </w:pBdr>
      <w:spacing w:after="0"/>
    </w:pPr>
    <w:r>
      <w:rPr>
        <w:rFonts w:ascii="Calibri" w:cs="Calibri" w:eastAsia="Calibri" w:hAnsi="Calibri"/>
        <w:b/>
        <w:bCs/>
        <w:color w:val="1B3358"/>
        <w:sz w:val="16"/>
        <w:szCs w:val="16"/>
      </w:rPr>
      <w:t xml:space="preserve">TIB SYSTEMS  ·  THE FULL SWEEP  ·  </w:t>
    </w:r>
    <w:r>
      <w:rPr>
        <w:rFonts w:ascii="Calibri" w:cs="Calibri" w:eastAsia="Calibri" w:hAnsi="Calibri"/>
        <w:color w:val="6B7A90"/>
        <w:sz w:val="16"/>
        <w:szCs w:val="16"/>
      </w:rPr>
      <w:t xml:space="preserve">TIB-FS-STU-010  ·  Trainee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80" w:before="0" w:line="24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Cambria" w:cs="Cambria" w:eastAsia="Cambria" w:hAnsi="Cambria"/>
      <w:b/>
      <w:bCs/>
      <w:color w:val="1B3358"/>
      <w:sz w:val="30"/>
      <w:szCs w:val="30"/>
    </w:rPr>
  </w:style>
  <w:style w:type="paragraph" w:styleId="Heading2">
    <w:name w:val="Heading 2"/>
    <w:basedOn w:val="Normal"/>
    <w:next w:val="Normal"/>
    <w:qFormat/>
    <w:pPr>
      <w:spacing w:after="80" w:before="180"/>
      <w:outlineLvl w:val="1"/>
    </w:pPr>
    <w:rPr>
      <w:rFonts w:ascii="Cambria" w:cs="Cambria" w:eastAsia="Cambria" w:hAnsi="Cambria"/>
      <w:b/>
      <w:bCs/>
      <w:color w:val="1B335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the Core Library Index</dc:title>
  <dc:creator>TIB Systems LLC</dc:creator>
  <cp:lastModifiedBy>Un-named</cp:lastModifiedBy>
  <cp:revision>1</cp:revision>
  <dcterms:created xsi:type="dcterms:W3CDTF">2026-10-21T18:05:26.031Z</dcterms:created>
  <dcterms:modified xsi:type="dcterms:W3CDTF">2026-10-21T18:05:26.031Z</dcterms:modified>
</cp:coreProperties>
</file>

<file path=docProps/custom.xml><?xml version="1.0" encoding="utf-8"?>
<Properties xmlns="http://schemas.openxmlformats.org/officeDocument/2006/custom-properties" xmlns:vt="http://schemas.openxmlformats.org/officeDocument/2006/docPropsVTypes"/>
</file>