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8F5D18"/>
          <w:sz w:val="18"/>
          <w:szCs w:val="18"/>
        </w:rPr>
        <w:t xml:space="preserve">TIB SYSTEMS LLC  ·  SAP SECURITY, GRC &amp; CONTROLS ACADEMY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3358"/>
          <w:sz w:val="40"/>
          <w:szCs w:val="40"/>
        </w:rPr>
        <w:t xml:space="preserve">Midpoint RCM Exercise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A5872"/>
          <w:sz w:val="23"/>
          <w:szCs w:val="23"/>
        </w:rPr>
        <w:t xml:space="preserve">Session 11 — build the Thornfield Risk &amp; Control Matrix from everything tested in sessions 2–10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44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14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code</w:t>
            </w:r>
          </w:p>
        </w:tc>
        <w:tc>
          <w:tcPr>
            <w:tcW w:type="dxa" w:w="114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TIB-FS-ASSESS-004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</w:t>
            </w:r>
          </w:p>
        </w:tc>
        <w:tc>
          <w:tcPr>
            <w:tcW w:type="dxa" w:w="114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 1 — The Full Sweep (live SAP SOX/ITGC cohort)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114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 — October 2026 restructure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Scenario vehicle</w:t>
            </w:r>
          </w:p>
        </w:tc>
        <w:tc>
          <w:tcPr>
            <w:tcW w:type="dxa" w:w="114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Thornfield Industrial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Audience</w:t>
            </w:r>
          </w:p>
        </w:tc>
        <w:tc>
          <w:tcPr>
            <w:tcW w:type="dxa" w:w="114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Trainees (Part A) · Facilitators (Part B)</w:t>
            </w:r>
          </w:p>
        </w:tc>
      </w:tr>
    </w:tbl>
    <w:p>
      <w:pPr>
        <w:spacing w:after="60" w:before="0"/>
      </w:pP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Part A — Trainee brief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In session 11 you turn the controls you have tested so far into a Risk &amp; Control Matrix — the document a manager uses to scope a whole engagement (Book 36).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Cover at least 8 of the 13 controls below. For each, complete every column of the template.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Confirm at least one automated control directly in configuration (SPRO, OMR6 or the relevant table, display only) — do not take it from the walkthrough.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Hand in at the end of session 11. Marked and returned in session 12; recorded as item = rcm.</w:t>
      </w:r>
    </w:p>
    <w:p>
      <w:pPr>
        <w:pStyle w:val="Heading2"/>
        <w:spacing w:after="80" w:before="180" w:line="240"/>
      </w:pPr>
      <w:r>
        <w:rPr>
          <w:rFonts w:ascii="Cambria" w:cs="Cambria" w:eastAsia="Cambria" w:hAnsi="Cambria"/>
          <w:b/>
          <w:bCs/>
          <w:color w:val="1B3358"/>
          <w:sz w:val="24"/>
          <w:szCs w:val="24"/>
        </w:rPr>
        <w:t xml:space="preserve">Controls in scope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400"/>
        <w:gridCol w:w="8340"/>
      </w:tblGrid>
      <w:tr>
        <w:trPr>
          <w:tblHeader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 ID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Book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addresses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TIG-AP-01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Access List — SoD Conflict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Pull the current Segregation of Duties (SoD) conflict report for Accounts Payable and confirm whether vendor master maintenance and payment run execution sit on the same user ID.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TIG-AC-02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Next Badge — New-Hire &amp; Turnover Access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a newly provisioned user was assigned the correct, current role — not a legacy or deactivated role template — following a personnel change.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TIG-AC-03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Leaver — Joiner-Mover-Leaver (Termination Access)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that every terminated employee's SAP access was deactivated on or before their last working day, with no login activity afterward.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TIG-PTP-04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Fourth Chair — SoD Testing Outside Finance (Procurement)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the same SoD methodology used for Accounts Payable against a different process area — Procurement — where the risk pairing is different (vendor master create + PO approval, rather than vendor master + payment run).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TIG-AC-05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Tile — Fiori Launchpad Security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that a Fiori launchpad tile's front-end catalog/group assignment does not grant visibility beyond what the user's backend role actually authorizes.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TIG-AC-06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Firefighter Log — Emergency Access Management (EAM)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every firefighter (emergency access) ID activation for the period has a completed, independent log review on file.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TIG-CM-07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Emergency Change — Change Management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every production transport moved with a corresponding CAB approval (standard) or completed emergency justification form (emergency path) within the required window.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TIG-CM-08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Back Door — Custom Code / ABAP Security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that a custom (Z/Y-prefixed) transaction enforces the same authorization checks as the standard transaction it was built to shortcut.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TIG-OPS-09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Untested Backup — Computer Operations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that a sample backup can actually be restored, not merely that the nightly backup job reports "Success."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TIG-OPS-10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Interface Gap — Interface Control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that records passing between SAP and a third-party or legacy system are not silently dropped by checking the interface's own error/failure log, not just its completion status.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TIG-GRC-11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Rule That Never Fired — GRC Process Control (CCM)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an automated business rule inside GRC Process Control is not merely scheduled and "running," but is actually evaluating current data correctly.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TIG-OPS-12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Job That Stopped Running — Batch Job Monitoring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that scheduled batch jobs are actually monitored for failure — not just the backup job — by testing execution history against the expected schedule.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TIG-R2R-13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Approval Limit — Manual Journal Entry Review Testing</w:t>
            </w:r>
          </w:p>
        </w:tc>
        <w:tc>
          <w:tcPr>
            <w:tcW w:type="dxa" w:w="8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every journal entry above the review threshold carries a documented, independent secondary approval, and identify whether the workflow's routing threshold is correctly configured.</w:t>
            </w:r>
          </w:p>
        </w:tc>
      </w:tr>
    </w:tbl>
    <w:p>
      <w:r>
        <w:br w:type="page"/>
      </w:r>
    </w:p>
    <w:p>
      <w:pPr>
        <w:pStyle w:val="Heading2"/>
        <w:spacing w:after="80" w:before="180" w:line="240"/>
      </w:pPr>
      <w:r>
        <w:rPr>
          <w:rFonts w:ascii="Cambria" w:cs="Cambria" w:eastAsia="Cambria" w:hAnsi="Cambria"/>
          <w:b/>
          <w:bCs/>
          <w:color w:val="1B3358"/>
          <w:sz w:val="24"/>
          <w:szCs w:val="24"/>
        </w:rPr>
        <w:t xml:space="preserve">RCM template — complete one row per control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2000"/>
        <w:gridCol w:w="2000"/>
        <w:gridCol w:w="1300"/>
        <w:gridCol w:w="1100"/>
        <w:gridCol w:w="900"/>
        <w:gridCol w:w="1300"/>
        <w:gridCol w:w="1300"/>
        <w:gridCol w:w="1740"/>
      </w:tblGrid>
      <w:tr>
        <w:trPr>
          <w:tblHeader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Process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 (what could go wrong)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description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owner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Key?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Prev / Det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Auto / ITDM / Manual</w:t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approach</w:t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TIG-…-01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TIG-…-02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TIG-…-03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TIG-…-04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TIG-…-05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TIG-…-06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TIG-…-07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TIG-…-08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TIG-…-09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TIG-…-10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TIG-…-11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TIG-…-12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TIG-…-13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6B7A90"/>
        <w:sz w:val="16"/>
        <w:szCs w:val="16"/>
      </w:rPr>
      <w:t xml:space="preserve">Page </w:t>
    </w:r>
    <w:r>
      <w:rPr>
        <w:rFonts w:ascii="Calibri" w:cs="Calibri" w:eastAsia="Calibri" w:hAnsi="Calibri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358" w:sz="6" w:space="4"/>
      </w:pBdr>
      <w:spacing w:after="0"/>
    </w:pPr>
    <w:r>
      <w:rPr>
        <w:rFonts w:ascii="Calibri" w:cs="Calibri" w:eastAsia="Calibri" w:hAnsi="Calibri"/>
        <w:b/>
        <w:bCs/>
        <w:color w:val="1B3358"/>
        <w:sz w:val="16"/>
        <w:szCs w:val="16"/>
      </w:rPr>
      <w:t xml:space="preserve">TIB SYSTEMS  ·  THE FULL SWEEP  ·  </w:t>
    </w:r>
    <w:r>
      <w:rPr>
        <w:rFonts w:ascii="Calibri" w:cs="Calibri" w:eastAsia="Calibri" w:hAnsi="Calibri"/>
        <w:color w:val="6B7A90"/>
        <w:sz w:val="16"/>
        <w:szCs w:val="16"/>
      </w:rPr>
      <w:t xml:space="preserve">TIB-FS-ASSESS-004A  ·  Trainee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before="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mbria" w:cs="Cambria" w:eastAsia="Cambria" w:hAnsi="Cambria"/>
      <w:b/>
      <w:bCs/>
      <w:color w:val="1B335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mbria" w:cs="Cambria" w:eastAsia="Cambria" w:hAnsi="Cambria"/>
      <w:b/>
      <w:bCs/>
      <w:color w:val="1B335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Midpoint RCM Exercise (Trainee copy)</dc:title>
  <dc:creator>TIB Systems LLC</dc:creator>
  <cp:lastModifiedBy>Un-named</cp:lastModifiedBy>
  <cp:revision>1</cp:revision>
  <dcterms:created xsi:type="dcterms:W3CDTF">2026-10-21T18:05:25.943Z</dcterms:created>
  <dcterms:modified xsi:type="dcterms:W3CDTF">2026-10-21T18:05:25.944Z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