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400"/>
      </w:pPr>
      <w:r>
        <w:rPr>
          <w:rFonts w:ascii="Calibri" w:cs="Calibri" w:eastAsia="Calibri" w:hAnsi="Calibri"/>
          <w:b/>
          <w:bCs/>
          <w:color w:val="8F5D18"/>
          <w:sz w:val="18"/>
          <w:szCs w:val="18"/>
        </w:rPr>
        <w:t xml:space="preserve">TIB SYSTEMS LLC  ·  SAP SECURITY, GRC &amp; CONTROLS ACADEMY</w:t>
      </w:r>
    </w:p>
    <w:p>
      <w:pPr>
        <w:spacing w:after="60"/>
      </w:pPr>
      <w:r>
        <w:rPr>
          <w:rFonts w:ascii="Cambria" w:cs="Cambria" w:eastAsia="Cambria" w:hAnsi="Cambria"/>
          <w:b/>
          <w:bCs/>
          <w:color w:val="1B3358"/>
          <w:sz w:val="40"/>
          <w:szCs w:val="40"/>
        </w:rPr>
        <w:t>Thornfield RCM Exercise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4A5872"/>
          <w:sz w:val="23"/>
          <w:szCs w:val="23"/>
        </w:rPr>
        <w:t>Advanced session 3 — build the Thornfield Risk &amp; Control Matrix from the controls tested at Intermediate</w:t>
      </w:r>
    </w:p>
    <w:tbl>
      <w:tblPr>
        <w:tblW w:type="dxa" w:w="140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1440"/>
      </w:tblGrid>
      <w:tr>
        <w:trPr>
          <w:tblHeader/>
        </w:trPr>
        <w:tc>
          <w:tcPr>
            <w:tcW w:type="dxa" w:w="2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Document</w:t>
            </w:r>
          </w:p>
        </w:tc>
        <w:tc>
          <w:tcPr>
            <w:tcW w:type="dxa" w:w="1144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Detail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Document code</w:t>
            </w:r>
          </w:p>
        </w:tc>
        <w:tc>
          <w:tcPr>
            <w:tcW w:type="dxa" w:w="1144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TIB-FS-ASSESS-004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Course</w:t>
            </w:r>
          </w:p>
        </w:tc>
        <w:tc>
          <w:tcPr>
            <w:tcW w:type="dxa" w:w="1144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Course 1 — The Full Sweep (live SAP SOX/ITGC cohort)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Version</w:t>
            </w:r>
          </w:p>
        </w:tc>
        <w:tc>
          <w:tcPr>
            <w:tcW w:type="dxa" w:w="1144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>V2 — October 2026 · two-level plan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Scenario vehicle</w:t>
            </w:r>
          </w:p>
        </w:tc>
        <w:tc>
          <w:tcPr>
            <w:tcW w:type="dxa" w:w="1144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Thornfield Industrial Group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Audience</w:t>
            </w:r>
          </w:p>
        </w:tc>
        <w:tc>
          <w:tcPr>
            <w:tcW w:type="dxa" w:w="1144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Trainees (Part A) · Facilitators (Part B)</w:t>
            </w:r>
          </w:p>
        </w:tc>
      </w:tr>
    </w:tbl>
    <w:p>
      <w:pPr>
        <w:spacing w:after="60" w:before="0"/>
      </w:pPr>
    </w:p>
    <w:p>
      <w:pPr>
        <w:pStyle w:val="Heading1"/>
        <w:spacing w:after="100" w:before="240" w:line="240"/>
      </w:pPr>
      <w:r>
        <w:rPr>
          <w:rFonts w:ascii="Cambria" w:cs="Cambria" w:eastAsia="Cambria" w:hAnsi="Cambria"/>
          <w:b/>
          <w:bCs/>
          <w:color w:val="1B3358"/>
          <w:sz w:val="30"/>
          <w:szCs w:val="30"/>
        </w:rPr>
        <w:t xml:space="preserve">Part A — Trainee brief</w:t>
      </w:r>
    </w:p>
    <w:p>
      <w:pPr>
        <w:pStyle w:val="ListParagraph"/>
        <w:numPr>
          <w:ilvl w:val="0"/>
          <w:numId w:val="2"/>
        </w:numPr>
        <w:spacing w:after="40" w:before="0" w:line="240"/>
      </w:pPr>
      <w:r>
        <w:rPr>
          <w:rFonts w:ascii="Calibri" w:cs="Calibri" w:eastAsia="Calibri" w:hAnsi="Calibri"/>
          <w:sz w:val="21"/>
          <w:szCs w:val="21"/>
        </w:rPr>
        <w:t>In Advanced session 3 you turn the controls tested at Intermediate into a Risk &amp; Control Matrix — the document a manager uses to scope a whole engagement (Book 36).</w:t>
      </w:r>
    </w:p>
    <w:p>
      <w:pPr>
        <w:pStyle w:val="ListParagraph"/>
        <w:numPr>
          <w:ilvl w:val="0"/>
          <w:numId w:val="2"/>
        </w:numPr>
        <w:spacing w:after="40" w:before="0" w:line="240"/>
      </w:pPr>
      <w:r>
        <w:rPr>
          <w:rFonts w:ascii="Calibri" w:cs="Calibri" w:eastAsia="Calibri" w:hAnsi="Calibri"/>
          <w:sz w:val="21"/>
          <w:szCs w:val="21"/>
        </w:rPr>
        <w:t xml:space="preserve">Cover at least 8 of the 13 controls below. For each, complete every column of the template.</w:t>
      </w:r>
    </w:p>
    <w:p>
      <w:pPr>
        <w:pStyle w:val="ListParagraph"/>
        <w:numPr>
          <w:ilvl w:val="0"/>
          <w:numId w:val="2"/>
        </w:numPr>
        <w:spacing w:after="40" w:before="0" w:line="240"/>
      </w:pPr>
      <w:r>
        <w:rPr>
          <w:rFonts w:ascii="Calibri" w:cs="Calibri" w:eastAsia="Calibri" w:hAnsi="Calibri"/>
          <w:sz w:val="21"/>
          <w:szCs w:val="21"/>
        </w:rPr>
        <w:t xml:space="preserve">Confirm at least one automated control directly in configuration (SPRO, OMR6 or the relevant table, display only) — do not take it from the walkthrough.</w:t>
      </w:r>
    </w:p>
    <w:p>
      <w:pPr>
        <w:pStyle w:val="ListParagraph"/>
        <w:numPr>
          <w:ilvl w:val="0"/>
          <w:numId w:val="2"/>
        </w:numPr>
        <w:spacing w:after="40" w:before="0" w:line="240"/>
      </w:pPr>
      <w:r>
        <w:rPr>
          <w:rFonts w:ascii="Calibri" w:cs="Calibri" w:eastAsia="Calibri" w:hAnsi="Calibri"/>
          <w:sz w:val="21"/>
          <w:szCs w:val="21"/>
        </w:rPr>
        <w:t>Submit by 23:59 CT on the day of Advanced session 3. Marked and returned at Advanced session 5; recorded as item = rcm.</w:t>
      </w:r>
    </w:p>
    <w:p>
      <w:pPr>
        <w:pStyle w:val="Heading2"/>
        <w:spacing w:after="80" w:before="180" w:line="240"/>
      </w:pPr>
      <w:r>
        <w:rPr>
          <w:rFonts w:ascii="Cambria" w:cs="Cambria" w:eastAsia="Cambria" w:hAnsi="Cambria"/>
          <w:b/>
          <w:bCs/>
          <w:color w:val="1B3358"/>
          <w:sz w:val="24"/>
          <w:szCs w:val="24"/>
        </w:rPr>
        <w:t xml:space="preserve">Controls in scope</w:t>
      </w:r>
    </w:p>
    <w:tbl>
      <w:tblPr>
        <w:tblW w:type="dxa" w:w="140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900"/>
        <w:gridCol w:w="3400"/>
        <w:gridCol w:w="8340"/>
      </w:tblGrid>
      <w:tr>
        <w:trPr>
          <w:tblHeader/>
        </w:trPr>
        <w:tc>
          <w:tcPr>
            <w:tcW w:type="dxa" w:w="1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Control ID</w:t>
            </w:r>
          </w:p>
        </w:tc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Book</w:t>
            </w:r>
          </w:p>
        </w:tc>
        <w:tc>
          <w:tcPr>
            <w:tcW w:type="dxa" w:w="3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Control</w:t>
            </w:r>
          </w:p>
        </w:tc>
        <w:tc>
          <w:tcPr>
            <w:tcW w:type="dxa" w:w="834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What it addresses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TIG-AP-01</w:t>
            </w:r>
          </w:p>
        </w:tc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3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The Access List — SoD Conflict Testing</w:t>
            </w:r>
          </w:p>
        </w:tc>
        <w:tc>
          <w:tcPr>
            <w:tcW w:type="dxa" w:w="834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Pull the current Segregation of Duties (SoD) conflict report for Accounts Payable and confirm whether vendor master maintenance and payment run execution sit on the same user ID.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TIG-AC-02</w:t>
            </w:r>
          </w:p>
        </w:tc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3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The Next Badge — New-Hire &amp; Turnover Access Testing</w:t>
            </w:r>
          </w:p>
        </w:tc>
        <w:tc>
          <w:tcPr>
            <w:tcW w:type="dxa" w:w="834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Confirm a newly provisioned user was assigned the correct, current role — not a legacy or deactivated role template — following a personnel change.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TIG-AC-03</w:t>
            </w:r>
          </w:p>
        </w:tc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17</w:t>
            </w:r>
          </w:p>
        </w:tc>
        <w:tc>
          <w:tcPr>
            <w:tcW w:type="dxa" w:w="3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The Leaver — Joiner-Mover-Leaver (Termination Access) Testing</w:t>
            </w:r>
          </w:p>
        </w:tc>
        <w:tc>
          <w:tcPr>
            <w:tcW w:type="dxa" w:w="834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Confirm that every terminated employee's SAP access was deactivated on or before their last working day, with no login activity afterward.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TIG-PTP-04</w:t>
            </w:r>
          </w:p>
        </w:tc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3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The Fourth Chair — SoD Testing Outside Finance (Procurement)</w:t>
            </w:r>
          </w:p>
        </w:tc>
        <w:tc>
          <w:tcPr>
            <w:tcW w:type="dxa" w:w="834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Run the same SoD methodology used for Accounts Payable against a different process area — Procurement — where the risk pairing is different (vendor master create + PO approval, rather than vendor master + payment run).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TIG-AC-05</w:t>
            </w:r>
          </w:p>
        </w:tc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  <w:tc>
          <w:tcPr>
            <w:tcW w:type="dxa" w:w="3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The Tile — Fiori Launchpad Security Testing</w:t>
            </w:r>
          </w:p>
        </w:tc>
        <w:tc>
          <w:tcPr>
            <w:tcW w:type="dxa" w:w="834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Confirm that a Fiori launchpad tile's front-end catalog/group assignment does not grant visibility beyond what the user's backend role actually authorizes.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TIG-AC-06</w:t>
            </w:r>
          </w:p>
        </w:tc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16</w:t>
            </w:r>
          </w:p>
        </w:tc>
        <w:tc>
          <w:tcPr>
            <w:tcW w:type="dxa" w:w="3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The Firefighter Log — Emergency Access Management (EAM) Testing</w:t>
            </w:r>
          </w:p>
        </w:tc>
        <w:tc>
          <w:tcPr>
            <w:tcW w:type="dxa" w:w="834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Confirm every firefighter (emergency access) ID activation for the period has a completed, independent log review on file.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TIG-CM-07</w:t>
            </w:r>
          </w:p>
        </w:tc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3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The Emergency Change — Change Management Testing</w:t>
            </w:r>
          </w:p>
        </w:tc>
        <w:tc>
          <w:tcPr>
            <w:tcW w:type="dxa" w:w="834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Confirm every production transport moved with a corresponding CAB approval (standard) or completed emergency justification form (emergency path) within the required window.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TIG-CM-08</w:t>
            </w:r>
          </w:p>
        </w:tc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3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The Back Door — Custom Code / ABAP Security Testing</w:t>
            </w:r>
          </w:p>
        </w:tc>
        <w:tc>
          <w:tcPr>
            <w:tcW w:type="dxa" w:w="834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Confirm that a custom (Z/Y-prefixed) transaction enforces the same authorization checks as the standard transaction it was built to shortcut.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TIG-OPS-09</w:t>
            </w:r>
          </w:p>
        </w:tc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18</w:t>
            </w:r>
          </w:p>
        </w:tc>
        <w:tc>
          <w:tcPr>
            <w:tcW w:type="dxa" w:w="3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The Untested Backup — Computer Operations Testing</w:t>
            </w:r>
          </w:p>
        </w:tc>
        <w:tc>
          <w:tcPr>
            <w:tcW w:type="dxa" w:w="834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Confirm that a sample backup can actually be restored, not merely that the nightly backup job reports "Success."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TIG-OPS-10</w:t>
            </w:r>
          </w:p>
        </w:tc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3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The Interface Gap — Interface Control Testing</w:t>
            </w:r>
          </w:p>
        </w:tc>
        <w:tc>
          <w:tcPr>
            <w:tcW w:type="dxa" w:w="834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Confirm that records passing between SAP and a third-party or legacy system are not silently dropped by checking the interface's own error/failure log, not just its completion status.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TIG-GRC-11</w:t>
            </w:r>
          </w:p>
        </w:tc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3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The Rule That Never Fired — GRC Process Control (CCM) Testing</w:t>
            </w:r>
          </w:p>
        </w:tc>
        <w:tc>
          <w:tcPr>
            <w:tcW w:type="dxa" w:w="834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Confirm an automated business rule inside GRC Process Control is not merely scheduled and "running," but is actually evaluating current data correctly.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TIG-OPS-12</w:t>
            </w:r>
          </w:p>
        </w:tc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23</w:t>
            </w:r>
          </w:p>
        </w:tc>
        <w:tc>
          <w:tcPr>
            <w:tcW w:type="dxa" w:w="3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The Job That Stopped Running — Batch Job Monitoring Testing</w:t>
            </w:r>
          </w:p>
        </w:tc>
        <w:tc>
          <w:tcPr>
            <w:tcW w:type="dxa" w:w="834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Confirm that scheduled batch jobs are actually monitored for failure — not just the backup job — by testing execution history against the expected schedule.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TIG-R2R-13</w:t>
            </w:r>
          </w:p>
        </w:tc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3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The Approval Limit — Manual Journal Entry Review Testing</w:t>
            </w:r>
          </w:p>
        </w:tc>
        <w:tc>
          <w:tcPr>
            <w:tcW w:type="dxa" w:w="834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Confirm every journal entry above the review threshold carries a documented, independent secondary approval, and identify whether the workflow's routing threshold is correctly configured.</w:t>
            </w:r>
          </w:p>
        </w:tc>
      </w:tr>
    </w:tbl>
    <w:p>
      <w:r>
        <w:br w:type="page"/>
      </w:r>
    </w:p>
    <w:p>
      <w:pPr>
        <w:pStyle w:val="Heading2"/>
        <w:spacing w:after="80" w:before="180" w:line="240"/>
      </w:pPr>
      <w:r>
        <w:rPr>
          <w:rFonts w:ascii="Cambria" w:cs="Cambria" w:eastAsia="Cambria" w:hAnsi="Cambria"/>
          <w:b/>
          <w:bCs/>
          <w:color w:val="1B3358"/>
          <w:sz w:val="24"/>
          <w:szCs w:val="24"/>
        </w:rPr>
        <w:t xml:space="preserve">RCM template — complete one row per control</w:t>
      </w:r>
    </w:p>
    <w:tbl>
      <w:tblPr>
        <w:tblW w:type="dxa" w:w="140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300"/>
        <w:gridCol w:w="2000"/>
        <w:gridCol w:w="2000"/>
        <w:gridCol w:w="1300"/>
        <w:gridCol w:w="1100"/>
        <w:gridCol w:w="900"/>
        <w:gridCol w:w="1300"/>
        <w:gridCol w:w="1300"/>
        <w:gridCol w:w="1740"/>
      </w:tblGrid>
      <w:tr>
        <w:trPr>
          <w:tblHeader/>
        </w:trPr>
        <w:tc>
          <w:tcPr>
            <w:tcW w:type="dxa" w:w="11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Control ID</w:t>
            </w:r>
          </w:p>
        </w:tc>
        <w:tc>
          <w:tcPr>
            <w:tcW w:type="dxa" w:w="1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Process</w:t>
            </w:r>
          </w:p>
        </w:tc>
        <w:tc>
          <w:tcPr>
            <w:tcW w:type="dxa" w:w="20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Risk (what could go wrong)</w:t>
            </w:r>
          </w:p>
        </w:tc>
        <w:tc>
          <w:tcPr>
            <w:tcW w:type="dxa" w:w="20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Control description</w:t>
            </w:r>
          </w:p>
        </w:tc>
        <w:tc>
          <w:tcPr>
            <w:tcW w:type="dxa" w:w="1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Control owner</w:t>
            </w:r>
          </w:p>
        </w:tc>
        <w:tc>
          <w:tcPr>
            <w:tcW w:type="dxa" w:w="11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Frequency</w:t>
            </w:r>
          </w:p>
        </w:tc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Key?</w:t>
            </w:r>
          </w:p>
        </w:tc>
        <w:tc>
          <w:tcPr>
            <w:tcW w:type="dxa" w:w="1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Prev / Det</w:t>
            </w:r>
          </w:p>
        </w:tc>
        <w:tc>
          <w:tcPr>
            <w:tcW w:type="dxa" w:w="1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Auto / ITDM / Manual</w:t>
            </w:r>
          </w:p>
        </w:tc>
        <w:tc>
          <w:tcPr>
            <w:tcW w:type="dxa" w:w="174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approach</w:t>
            </w:r>
          </w:p>
        </w:tc>
      </w:tr>
      <w:tr>
        <w:trPr>
          <w:cantSplit/>
          <w:trHeight w:val="560" w:hRule="atLeast"/>
        </w:trPr>
        <w:tc>
          <w:tcPr>
            <w:tcW w:type="dxa" w:w="11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TIG-…-01</w:t>
            </w:r>
          </w:p>
        </w:tc>
        <w:tc>
          <w:tcPr>
            <w:tcW w:type="dxa" w:w="1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20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20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74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560" w:hRule="atLeast"/>
        </w:trPr>
        <w:tc>
          <w:tcPr>
            <w:tcW w:type="dxa" w:w="11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TIG-…-02</w:t>
            </w:r>
          </w:p>
        </w:tc>
        <w:tc>
          <w:tcPr>
            <w:tcW w:type="dxa" w:w="1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20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20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74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560" w:hRule="atLeast"/>
        </w:trPr>
        <w:tc>
          <w:tcPr>
            <w:tcW w:type="dxa" w:w="11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TIG-…-03</w:t>
            </w:r>
          </w:p>
        </w:tc>
        <w:tc>
          <w:tcPr>
            <w:tcW w:type="dxa" w:w="1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20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20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74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560" w:hRule="atLeast"/>
        </w:trPr>
        <w:tc>
          <w:tcPr>
            <w:tcW w:type="dxa" w:w="11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TIG-…-04</w:t>
            </w:r>
          </w:p>
        </w:tc>
        <w:tc>
          <w:tcPr>
            <w:tcW w:type="dxa" w:w="1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20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20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74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560" w:hRule="atLeast"/>
        </w:trPr>
        <w:tc>
          <w:tcPr>
            <w:tcW w:type="dxa" w:w="11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TIG-…-05</w:t>
            </w:r>
          </w:p>
        </w:tc>
        <w:tc>
          <w:tcPr>
            <w:tcW w:type="dxa" w:w="1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20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20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74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560" w:hRule="atLeast"/>
        </w:trPr>
        <w:tc>
          <w:tcPr>
            <w:tcW w:type="dxa" w:w="11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TIG-…-06</w:t>
            </w:r>
          </w:p>
        </w:tc>
        <w:tc>
          <w:tcPr>
            <w:tcW w:type="dxa" w:w="1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20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20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74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560" w:hRule="atLeast"/>
        </w:trPr>
        <w:tc>
          <w:tcPr>
            <w:tcW w:type="dxa" w:w="11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TIG-…-07</w:t>
            </w:r>
          </w:p>
        </w:tc>
        <w:tc>
          <w:tcPr>
            <w:tcW w:type="dxa" w:w="1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20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20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74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560" w:hRule="atLeast"/>
        </w:trPr>
        <w:tc>
          <w:tcPr>
            <w:tcW w:type="dxa" w:w="11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TIG-…-08</w:t>
            </w:r>
          </w:p>
        </w:tc>
        <w:tc>
          <w:tcPr>
            <w:tcW w:type="dxa" w:w="1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20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20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74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560" w:hRule="atLeast"/>
        </w:trPr>
        <w:tc>
          <w:tcPr>
            <w:tcW w:type="dxa" w:w="11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TIG-…-09</w:t>
            </w:r>
          </w:p>
        </w:tc>
        <w:tc>
          <w:tcPr>
            <w:tcW w:type="dxa" w:w="1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20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20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74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560" w:hRule="atLeast"/>
        </w:trPr>
        <w:tc>
          <w:tcPr>
            <w:tcW w:type="dxa" w:w="11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TIG-…-10</w:t>
            </w:r>
          </w:p>
        </w:tc>
        <w:tc>
          <w:tcPr>
            <w:tcW w:type="dxa" w:w="1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20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20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74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560" w:hRule="atLeast"/>
        </w:trPr>
        <w:tc>
          <w:tcPr>
            <w:tcW w:type="dxa" w:w="11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TIG-…-11</w:t>
            </w:r>
          </w:p>
        </w:tc>
        <w:tc>
          <w:tcPr>
            <w:tcW w:type="dxa" w:w="1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20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20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74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560" w:hRule="atLeast"/>
        </w:trPr>
        <w:tc>
          <w:tcPr>
            <w:tcW w:type="dxa" w:w="11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TIG-…-12</w:t>
            </w:r>
          </w:p>
        </w:tc>
        <w:tc>
          <w:tcPr>
            <w:tcW w:type="dxa" w:w="1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20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20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74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560" w:hRule="atLeast"/>
        </w:trPr>
        <w:tc>
          <w:tcPr>
            <w:tcW w:type="dxa" w:w="11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TIG-…-13</w:t>
            </w:r>
          </w:p>
        </w:tc>
        <w:tc>
          <w:tcPr>
            <w:tcW w:type="dxa" w:w="1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20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20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74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</w:tbl>
    <w:sectPr>
      <w:headerReference w:type="default" r:id="rId6"/>
      <w:footerReference w:type="default" r:id="rId7"/>
      <w:pgSz w:w="15840" w:h="12240" w:orient="landscape"/>
      <w:pgMar w:top="900" w:right="900" w:bottom="900" w:left="9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right"/>
    </w:pPr>
    <w:r>
      <w:rPr>
        <w:rFonts w:ascii="Calibri" w:cs="Calibri" w:eastAsia="Calibri" w:hAnsi="Calibri"/>
        <w:color w:val="6B7A90"/>
        <w:sz w:val="16"/>
        <w:szCs w:val="16"/>
      </w:rPr>
      <w:t xml:space="preserve">Page </w:t>
    </w:r>
    <w:r>
      <w:rPr>
        <w:rFonts w:ascii="Calibri" w:cs="Calibri" w:eastAsia="Calibri" w:hAnsi="Calibri"/>
        <w:color w:val="6B7A9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358" w:sz="6" w:space="4"/>
      </w:pBdr>
      <w:spacing w:after="0"/>
    </w:pPr>
    <w:r>
      <w:rPr>
        <w:rFonts w:ascii="Calibri" w:cs="Calibri" w:eastAsia="Calibri" w:hAnsi="Calibri"/>
        <w:b/>
        <w:bCs/>
        <w:color w:val="1B3358"/>
        <w:sz w:val="16"/>
        <w:szCs w:val="16"/>
      </w:rPr>
      <w:t xml:space="preserve">TIB SYSTEMS  ·  THE FULL SWEEP  ·  </w:t>
    </w:r>
    <w:r>
      <w:rPr>
        <w:rFonts w:ascii="Calibri" w:cs="Calibri" w:eastAsia="Calibri" w:hAnsi="Calibri"/>
        <w:color w:val="6B7A90"/>
        <w:sz w:val="16"/>
        <w:szCs w:val="16"/>
      </w:rPr>
      <w:t xml:space="preserve">TIB-FS-ASSESS-004A  ·  Trainee copy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</w:lvl>
    <w:lvl w:ilvl="1" w:tentative="1">
      <w:start w:val="1"/>
      <w:numFmt w:val="bullet"/>
      <w:lvlText w:val="–"/>
      <w:lvlJc w:val="left"/>
      <w:pPr>
        <w:ind w:left="720" w:hanging="24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80" w:before="0" w:line="240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00" w:before="240"/>
      <w:outlineLvl w:val="0"/>
    </w:pPr>
    <w:rPr>
      <w:rFonts w:ascii="Cambria" w:cs="Cambria" w:eastAsia="Cambria" w:hAnsi="Cambria"/>
      <w:b/>
      <w:bCs/>
      <w:color w:val="1B3358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Cambria" w:cs="Cambria" w:eastAsia="Cambria" w:hAnsi="Cambria"/>
      <w:b/>
      <w:bCs/>
      <w:color w:val="1B3358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Midpoint RCM Exercise (Trainee copy)</dc:title>
  <dc:creator>TIB Systems LLC</dc:creator>
  <cp:lastModifiedBy>Un-named</cp:lastModifiedBy>
  <cp:revision>1</cp:revision>
  <dcterms:created xsi:type="dcterms:W3CDTF">2026-10-21T18:05:25.943Z</dcterms:created>
  <dcterms:modified xsi:type="dcterms:W3CDTF">2026-10-21T18:05:25.944Z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