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ading-pack-advanced-week-1"/>
    <w:p>
      <w:pPr>
        <w:pStyle w:val="Heading1"/>
      </w:pPr>
      <w:r>
        <w:t xml:space="preserve">Reading Pack — Advanced Week 1</w:t>
      </w:r>
    </w:p>
    <w:p>
      <w:pPr>
        <w:pStyle w:val="FirstParagraph"/>
      </w:pPr>
      <w:r>
        <w:rPr>
          <w:iCs/>
          <w:i/>
        </w:rPr>
        <w:t xml:space="preserve">Advanced · Sessions 1–4 · The Full Sweep · Thornfield Industrial Group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Advanced Week 1 moves you from tester to engagement lead: the bridge from your Intermediate findings, the Thornfield RCM, and design effectiveness.</w:t>
      </w:r>
    </w:p>
    <w:p>
      <w:pPr>
        <w:pStyle w:val="BodyText"/>
      </w:pPr>
      <w:r>
        <w:t xml:space="preserve">Read each session’s section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session — about 45–60 minutes per session. The course app has the exact screens; this pack has the reasoning the app has no field for: the control objective, the population, what a reviewer will ask, and what to conclude. In the app, open the menu on</w:t>
      </w:r>
      <w:r>
        <w:t xml:space="preserve"> </w:t>
      </w:r>
      <w:r>
        <w:rPr>
          <w:bCs/>
          <w:b/>
        </w:rPr>
        <w:t xml:space="preserve">By session</w:t>
      </w:r>
      <w:r>
        <w:t xml:space="preserve"> </w:t>
      </w:r>
      <w:r>
        <w:t xml:space="preserve">— the rows match the sessions in this pack, and</w:t>
      </w:r>
      <w:r>
        <w:t xml:space="preserve"> </w:t>
      </w:r>
      <w:r>
        <w:rPr>
          <w:bCs/>
          <w:b/>
        </w:rPr>
        <w:t xml:space="preserve">▶ Next</w:t>
      </w:r>
      <w:r>
        <w:t xml:space="preserve"> </w:t>
      </w:r>
      <w:r>
        <w:t xml:space="preserve">takes you through them in the same order.</w:t>
      </w:r>
    </w:p>
    <w:p>
      <w:pPr>
        <w:pStyle w:val="BodyText"/>
      </w:pPr>
      <w:r>
        <w:rPr>
          <w:bCs/>
          <w:b/>
        </w:rPr>
        <w:t xml:space="preserve">Studying on your own?</w:t>
      </w:r>
      <w:r>
        <w:t xml:space="preserve"> </w:t>
      </w:r>
      <w:r>
        <w:t xml:space="preserve">Treat each session below as one sitting of about two hours: read the section, do the Book in SAP with the app beside you, upload your exhibit, then answer the question to bring — out loud or in writing — before moving on.</w:t>
      </w:r>
    </w:p>
    <w:bookmarkEnd w:id="20"/>
    <w:bookmarkStart w:id="21" w:name="X9a9bfe48c9337643d04e75b64e420db2c372292"/>
    <w:p>
      <w:pPr>
        <w:pStyle w:val="Heading2"/>
      </w:pPr>
      <w:r>
        <w:t xml:space="preserve">Session 1 — Tue · Bridge — entry check and engagement brief</w:t>
      </w:r>
    </w:p>
    <w:p>
      <w:pPr>
        <w:pStyle w:val="FirstParagraph"/>
      </w:pPr>
      <w:r>
        <w:rPr>
          <w:bCs/>
          <w:b/>
        </w:rPr>
        <w:t xml:space="preserve">Bridge session — no Book.</w:t>
      </w:r>
      <w:r>
        <w:t xml:space="preserve"> </w:t>
      </w:r>
      <w:r>
        <w:t xml:space="preserve">Entry check (Intermediate certificate or experience review), the Thornfield engagement brief, and a findings inventory from your three Intermediate workpapers.</w:t>
      </w:r>
      <w:r>
        <w:t xml:space="preserve"> </w:t>
      </w:r>
      <w:r>
        <w:rPr>
          <w:bCs/>
          <w:b/>
        </w:rPr>
        <w:t xml:space="preserve">Self-study:</w:t>
      </w:r>
      <w:r>
        <w:t xml:space="preserve"> </w:t>
      </w:r>
      <w:r>
        <w:t xml:space="preserve">list every finding from your workpapers, with its control, root cause and status — that list is the raw material for the RCM and the deficiency memo.</w:t>
      </w:r>
    </w:p>
    <w:bookmarkEnd w:id="21"/>
    <w:bookmarkStart w:id="27" w:name="Xa321f9b68f007d3a45edd0f58d4835d68d52a4f"/>
    <w:p>
      <w:pPr>
        <w:pStyle w:val="Heading2"/>
      </w:pPr>
      <w:r>
        <w:t xml:space="preserve">Session 2 — Thu · Book 36 — The Map Before the Testing</w:t>
      </w:r>
    </w:p>
    <w:bookmarkStart w:id="26" w:name="book-36-the-map-before-the-testing"/>
    <w:p>
      <w:pPr>
        <w:pStyle w:val="Heading3"/>
      </w:pPr>
      <w:r>
        <w:t xml:space="preserve">Book 36 — The Map Before the Testing</w:t>
      </w:r>
    </w:p>
    <w:p>
      <w:pPr>
        <w:pStyle w:val="FirstParagraph"/>
      </w:pPr>
      <w:r>
        <w:rPr>
          <w:iCs/>
          <w:i/>
        </w:rPr>
        <w:t xml:space="preserve">Part XI · RCM (Risk &amp; Control Matrix) Construction</w:t>
      </w:r>
    </w:p>
    <w:p>
      <w:pPr>
        <w:pStyle w:val="BodyText"/>
      </w:pPr>
      <w:r>
        <w:rPr>
          <w:bCs/>
          <w:b/>
        </w:rPr>
        <w:t xml:space="preserve">Scope area: RCM (Risk &amp; Control Matrix) Construction</w:t>
      </w:r>
    </w:p>
    <w:p>
      <w:pPr>
        <w:pStyle w:val="BodyText"/>
      </w:pPr>
      <w:r>
        <w:t xml:space="preserve">As engagement manager, translate a walkthrough of the Procure-to-Pay and Record-to-Report cycles into a structured Risk &amp; Control Matrix (RCM) — the document that will define which controls get tested, by whom, and how — before any fieldwork begins.</w:t>
      </w:r>
    </w:p>
    <w:bookmarkStart w:id="22" w:name="what-to-watch-for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An RCM built entirely from policy documents and never validated against actual system configuration will send testers out to test a control that doesn't operate the way the matrix says it does — as this course's own fieldwork has repeatedly shown.</w:t>
      </w:r>
    </w:p>
    <w:bookmarkEnd w:id="22"/>
    <w:bookmarkStart w:id="23" w:name="evidence-you-will-need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Walkthrough notes per control owner, the configuration confirmation for each automated control referenced, the completed RCM with all attributes populated, and control-owner sign-off on the draft RCM.</w:t>
      </w:r>
    </w:p>
    <w:bookmarkEnd w:id="23"/>
    <w:bookmarkStart w:id="24" w:name="X1c89ceffc96a65f9f6804de866e3ed6ca110b37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Process Walkthrough (Control Owner Interview):</w:t>
      </w:r>
      <w:r>
        <w:t xml:space="preserve"> </w:t>
      </w:r>
      <w:r>
        <w:t xml:space="preserve">Conduct a structured interview with each control owner, documenting the control exactly as they describe performing it. [No SAP navigation — this is an interview and documentation step.]</w:t>
      </w:r>
    </w:p>
    <w:p>
      <w:pPr>
        <w:pStyle w:val="BodyText"/>
      </w:pPr>
      <w:r>
        <w:rPr>
          <w:bCs/>
          <w:b/>
        </w:rPr>
        <w:t xml:space="preserve">SPRO / OMR6 (SAP GUI (display only)):</w:t>
      </w:r>
      <w:r>
        <w:t xml:space="preserve"> </w:t>
      </w:r>
      <w:r>
        <w:t xml:space="preserve">Independently confirm the configuration behind any automated control mentioned in the walkthrough. [Navigation: type the relevant transaction (e.g., OMR6, SPRO) in display mode, record the configured values.]</w:t>
      </w:r>
    </w:p>
    <w:p>
      <w:pPr>
        <w:pStyle w:val="BodyText"/>
      </w:pPr>
      <w:r>
        <w:rPr>
          <w:bCs/>
          <w:b/>
        </w:rPr>
        <w:t xml:space="preserve">GRC Process Control Repository (GRC Process Control):</w:t>
      </w:r>
      <w:r>
        <w:t xml:space="preserve"> </w:t>
      </w:r>
      <w:r>
        <w:t xml:space="preserve">Search the control repository for a prior-cycle version of the control and compare attributes. [Navigation: open the control repository app, search by process area or control name.]</w:t>
      </w:r>
    </w:p>
    <w:p>
      <w:pPr>
        <w:pStyle w:val="BodyText"/>
      </w:pPr>
      <w:r>
        <w:rPr>
          <w:bCs/>
          <w:b/>
        </w:rPr>
        <w:t xml:space="preserve">RCM Template (Manager Workpaper):</w:t>
      </w:r>
      <w:r>
        <w:t xml:space="preserve"> </w:t>
      </w:r>
      <w:r>
        <w:t xml:space="preserve">Populate the RCM with each control's full attribute set and testing approach. [No SAP navigation — this is a workpaper-construction step.]</w:t>
      </w:r>
    </w:p>
    <w:p>
      <w:pPr>
        <w:pStyle w:val="BodyText"/>
      </w:pPr>
      <w:r>
        <w:rPr>
          <w:bCs/>
          <w:b/>
        </w:rPr>
        <w:t xml:space="preserve">Then:</w:t>
      </w:r>
      <w:r>
        <w:t xml:space="preserve"> </w:t>
      </w:r>
      <w:r>
        <w:t xml:space="preserve">Circulate the draft RCM for control-owner sign-off before scheduling any fieldwork against it.</w:t>
      </w:r>
    </w:p>
    <w:bookmarkEnd w:id="24"/>
    <w:bookmarkStart w:id="25" w:name="the-question-to-bring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Which controls in your RCM are key, and why? Which automated control did you confirm in configuration rather than take from the walkthrough?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25"/>
    <w:bookmarkEnd w:id="26"/>
    <w:bookmarkEnd w:id="27"/>
    <w:bookmarkStart w:id="28" w:name="X9f6af1a902a51ef314c4391efe23e60ca920285"/>
    <w:p>
      <w:pPr>
        <w:pStyle w:val="Heading2"/>
      </w:pPr>
      <w:r>
        <w:t xml:space="preserve">Session 3 — Sat · RCM workshop — finish the Thornfield RCM</w:t>
      </w:r>
    </w:p>
    <w:p>
      <w:pPr>
        <w:pStyle w:val="FirstParagraph"/>
      </w:pPr>
      <w:r>
        <w:rPr>
          <w:bCs/>
          <w:b/>
        </w:rPr>
        <w:t xml:space="preserve">RCM workshop — no Book.</w:t>
      </w:r>
      <w:r>
        <w:t xml:space="preserve"> </w:t>
      </w:r>
      <w:r>
        <w:t xml:space="preserve">Finish the Thornfield Risk &amp; Control Matrix and select the key controls, using Book 36 and the Midpoint RCM Exercise (TIB-FS-ASSESS-004A, folder 05). Submit the completed RCM by 23:59 CT that day; it is marked and returned at session 5.</w:t>
      </w:r>
    </w:p>
    <w:bookmarkEnd w:id="28"/>
    <w:bookmarkStart w:id="34" w:name="Xd95d5734314b0b981b9235e9e5dc11881ec4ed8"/>
    <w:p>
      <w:pPr>
        <w:pStyle w:val="Heading2"/>
      </w:pPr>
      <w:r>
        <w:t xml:space="preserve">Session 4 — Sun · Book 37 — The Control That Was Never Built to Hold</w:t>
      </w:r>
    </w:p>
    <w:bookmarkStart w:id="33" w:name="X19dfe8b7762f3f58102150642cfd073b4f8fd80"/>
    <w:p>
      <w:pPr>
        <w:pStyle w:val="Heading3"/>
      </w:pPr>
      <w:r>
        <w:t xml:space="preserve">Book 37 — The Control That Was Never Built to Hold</w:t>
      </w:r>
    </w:p>
    <w:p>
      <w:pPr>
        <w:pStyle w:val="FirstParagraph"/>
      </w:pPr>
      <w:r>
        <w:rPr>
          <w:iCs/>
          <w:i/>
        </w:rPr>
        <w:t xml:space="preserve">Part XI · Design Effectiveness Testing</w:t>
      </w:r>
    </w:p>
    <w:p>
      <w:pPr>
        <w:pStyle w:val="BodyText"/>
      </w:pPr>
      <w:r>
        <w:rPr>
          <w:bCs/>
          <w:b/>
        </w:rPr>
        <w:t xml:space="preserve">Scope area: Design Effectiveness Testing</w:t>
      </w:r>
    </w:p>
    <w:p>
      <w:pPr>
        <w:pStyle w:val="BodyText"/>
      </w:pPr>
      <w:r>
        <w:t xml:space="preserve">Confirm that a control as designed — not yet as operated — is actually capable of preventing or detecting the risk it is assigned to in the RCM, before spending fieldwork hours testing whether it operated.</w:t>
      </w:r>
    </w:p>
    <w:bookmarkStart w:id="29" w:name="what-to-watch-for-1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Running a full operating-effectiveness sample before confirming design effectiveness can waste an entire testing cycle proving, one instance at a time, something a five-minute role-design review would have shown for the whole population at once.</w:t>
      </w:r>
    </w:p>
    <w:bookmarkEnd w:id="29"/>
    <w:bookmarkStart w:id="30" w:name="evidence-you-will-need-1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RCM's stated control objective, the PFCG role-design review, a RACI-style mapping of who can perform each function, and the design-effectiveness conclusion memo distinguishing design from operating deficiency.</w:t>
      </w:r>
    </w:p>
    <w:bookmarkEnd w:id="30"/>
    <w:bookmarkStart w:id="31" w:name="X18ce9bc32099f3a79b8dbf3bc1f90b3b845ac76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RCM Cross-Reference (Manager Workpaper):</w:t>
      </w:r>
      <w:r>
        <w:t xml:space="preserve"> </w:t>
      </w:r>
      <w:r>
        <w:t xml:space="preserve">Pull the control's stated objective from the RCM built in Book 36 and restate it as a testable design question.</w:t>
      </w:r>
    </w:p>
    <w:p>
      <w:pPr>
        <w:pStyle w:val="BodyText"/>
      </w:pPr>
      <w:r>
        <w:rPr>
          <w:bCs/>
          <w:b/>
        </w:rPr>
        <w:t xml:space="preserve">PFCG (SAP GUI (display)):</w:t>
      </w:r>
      <w:r>
        <w:t xml:space="preserve"> </w:t>
      </w:r>
      <w:r>
        <w:t xml:space="preserve">Display the standard role(s) associated with the control's process and review whether both functions' authorization objects sit in the same role. [Navigation: type PFCG, enter the role name, display mode only, review the Authorizations tab.]</w:t>
      </w:r>
    </w:p>
    <w:p>
      <w:pPr>
        <w:pStyle w:val="BodyText"/>
      </w:pPr>
      <w:r>
        <w:rPr>
          <w:bCs/>
          <w:b/>
        </w:rPr>
        <w:t xml:space="preserve">RACI Mapping (Manager Workpaper):</w:t>
      </w:r>
      <w:r>
        <w:t xml:space="preserve"> </w:t>
      </w:r>
      <w:r>
        <w:t xml:space="preserve">Build a simple who-can-do-what mapping from the role review to visualize where the design does or doesn't enforce separation.</w:t>
      </w:r>
    </w:p>
    <w:p>
      <w:pPr>
        <w:pStyle w:val="BodyText"/>
      </w:pPr>
      <w:r>
        <w:rPr>
          <w:bCs/>
          <w:b/>
        </w:rPr>
        <w:t xml:space="preserve">Design Effectiveness Memo (Manager Workpaper):</w:t>
      </w:r>
      <w:r>
        <w:t xml:space="preserve"> </w:t>
      </w:r>
      <w:r>
        <w:t xml:space="preserve">Document the design conclusion explicitly, separate from any operating-effectiveness conclusion drawn from prior fieldwork.</w:t>
      </w:r>
    </w:p>
    <w:bookmarkEnd w:id="31"/>
    <w:bookmarkStart w:id="32" w:name="the-question-to-bring-1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Could this control ever have passed, whatever the sample? Defend your sample size and population source as two separate decisions.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32"/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2026-10-22T15:48:30Z</dcterms:created>
  <dcterms:modified xsi:type="dcterms:W3CDTF">2026-10-22T15:48:30Z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