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reading-pack-advanced-week-2"/>
    <w:p>
      <w:pPr>
        <w:pStyle w:val="Heading1"/>
      </w:pPr>
      <w:r>
        <w:t xml:space="preserve">Reading Pack — Advanced Week 2</w:t>
      </w:r>
    </w:p>
    <w:p>
      <w:pPr>
        <w:pStyle w:val="FirstParagraph"/>
      </w:pPr>
      <w:r>
        <w:rPr>
          <w:iCs/>
          <w:i/>
        </w:rPr>
        <w:t xml:space="preserve">Advanced · Sessions 5–8 · The Full Sweep · Thornfield Industrial Group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Advanced Week 2 is judgment: how many samples is enough, how to classify a finding, and how testing changes on other platforms and with full-population analytics. The deficiency memo is assigned in session 6.</w:t>
      </w:r>
    </w:p>
    <w:p>
      <w:pPr>
        <w:pStyle w:val="BodyText"/>
      </w:pPr>
      <w:r>
        <w:t xml:space="preserve">Read each session’s section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that session — about 45–60 minutes per session. The course app has the exact screens; this pack has the reasoning the app has no field for: the control objective, the population, what a reviewer will ask, and what to conclude. In the app, open the menu on</w:t>
      </w:r>
      <w:r>
        <w:t xml:space="preserve"> </w:t>
      </w:r>
      <w:r>
        <w:rPr>
          <w:bCs/>
          <w:b/>
        </w:rPr>
        <w:t xml:space="preserve">By session</w:t>
      </w:r>
      <w:r>
        <w:t xml:space="preserve"> </w:t>
      </w:r>
      <w:r>
        <w:t xml:space="preserve">— the rows match the sessions in this pack, and</w:t>
      </w:r>
      <w:r>
        <w:t xml:space="preserve"> </w:t>
      </w:r>
      <w:r>
        <w:rPr>
          <w:bCs/>
          <w:b/>
        </w:rPr>
        <w:t xml:space="preserve">▶ Next</w:t>
      </w:r>
      <w:r>
        <w:t xml:space="preserve"> </w:t>
      </w:r>
      <w:r>
        <w:t xml:space="preserve">takes you through them in the same order.</w:t>
      </w:r>
    </w:p>
    <w:p>
      <w:pPr>
        <w:pStyle w:val="BodyText"/>
      </w:pPr>
      <w:r>
        <w:rPr>
          <w:bCs/>
          <w:b/>
        </w:rPr>
        <w:t xml:space="preserve">Studying on your own?</w:t>
      </w:r>
      <w:r>
        <w:t xml:space="preserve"> </w:t>
      </w:r>
      <w:r>
        <w:t xml:space="preserve">Treat each session below as one sitting of about two hours: read the section, do the Book in SAP with the app beside you, upload your exhibit, then answer the question to bring — out loud or in writing — before moving on.</w:t>
      </w:r>
    </w:p>
    <w:bookmarkEnd w:id="20"/>
    <w:bookmarkStart w:id="26" w:name="session-5-tue-book-38-how-many-is-enough"/>
    <w:p>
      <w:pPr>
        <w:pStyle w:val="Heading2"/>
      </w:pPr>
      <w:r>
        <w:t xml:space="preserve">Session 5 — Tue · Book 38 — How Many Is Enough</w:t>
      </w:r>
    </w:p>
    <w:bookmarkStart w:id="25" w:name="book-38-how-many-is-enough"/>
    <w:p>
      <w:pPr>
        <w:pStyle w:val="Heading3"/>
      </w:pPr>
      <w:r>
        <w:t xml:space="preserve">Book 38 — How Many Is Enough</w:t>
      </w:r>
    </w:p>
    <w:p>
      <w:pPr>
        <w:pStyle w:val="FirstParagraph"/>
      </w:pPr>
      <w:r>
        <w:rPr>
          <w:iCs/>
          <w:i/>
        </w:rPr>
        <w:t xml:space="preserve">Part XI · Operating Effectiveness Sampling</w:t>
      </w:r>
    </w:p>
    <w:p>
      <w:pPr>
        <w:pStyle w:val="BodyText"/>
      </w:pPr>
      <w:r>
        <w:rPr>
          <w:bCs/>
          <w:b/>
        </w:rPr>
        <w:t xml:space="preserve">Scope area: Operating Effectiveness Sampling</w:t>
      </w:r>
    </w:p>
    <w:p>
      <w:pPr>
        <w:pStyle w:val="BodyText"/>
      </w:pPr>
      <w:r>
        <w:t xml:space="preserve">As engagement manager, determine the sample size and selection method for each key control's operating-effectiveness test — matched to the control's frequency and the engagement's reliance strategy — rather than defaulting to the same handful of items every time.</w:t>
      </w:r>
    </w:p>
    <w:bookmarkStart w:id="21" w:name="what-to-watch-for"/>
    <w:p>
      <w:pPr>
        <w:pStyle w:val="Heading5"/>
      </w:pPr>
      <w:r>
        <w:t xml:space="preserve">What to watch for</w:t>
      </w:r>
    </w:p>
    <w:p>
      <w:pPr>
        <w:pStyle w:val="FirstParagraph"/>
      </w:pPr>
      <w:r>
        <w:t xml:space="preserve">A sample size that looks rigorous but was drawn from an already-filtered report can be entirely correct in its math and still support the wrong conclusion, because the population itself was wrong before the first item was ever selected.</w:t>
      </w:r>
    </w:p>
    <w:bookmarkEnd w:id="21"/>
    <w:bookmarkStart w:id="22" w:name="evidence-you-will-need"/>
    <w:p>
      <w:pPr>
        <w:pStyle w:val="Heading5"/>
      </w:pPr>
      <w:r>
        <w:t xml:space="preserve">Evidence you will need</w:t>
      </w:r>
    </w:p>
    <w:p>
      <w:pPr>
        <w:pStyle w:val="FirstParagraph"/>
      </w:pPr>
      <w:r>
        <w:t xml:space="preserve">The RCM frequency reference for each control, the sample-size determination and rationale, the population-completeness confirmation, and the documented sample-selection method.</w:t>
      </w:r>
    </w:p>
    <w:bookmarkEnd w:id="22"/>
    <w:bookmarkStart w:id="23" w:name="X1c89ceffc96a65f9f6804de866e3ed6ca110b37"/>
    <w:p>
      <w:pPr>
        <w:pStyle w:val="Heading5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RCM Frequency Review (Manager Workpaper):</w:t>
      </w:r>
      <w:r>
        <w:t xml:space="preserve"> </w:t>
      </w:r>
      <w:r>
        <w:t xml:space="preserve">Pull the documented frequency for each key control from the RCM built in Book 36.</w:t>
      </w:r>
    </w:p>
    <w:p>
      <w:pPr>
        <w:pStyle w:val="BodyText"/>
      </w:pPr>
      <w:r>
        <w:rPr>
          <w:bCs/>
          <w:b/>
        </w:rPr>
        <w:t xml:space="preserve">Sample Size Table (Manager Workpaper / Sampling Guide):</w:t>
      </w:r>
      <w:r>
        <w:t xml:space="preserve"> </w:t>
      </w:r>
      <w:r>
        <w:t xml:space="preserve">Apply the standard frequency-based sample-size table and document any deviation with a stated rationale.</w:t>
      </w:r>
    </w:p>
    <w:p>
      <w:pPr>
        <w:pStyle w:val="BodyText"/>
      </w:pPr>
      <w:r>
        <w:rPr>
          <w:bCs/>
          <w:b/>
        </w:rPr>
        <w:t xml:space="preserve">SE16N (SAP GUI):</w:t>
      </w:r>
      <w:r>
        <w:t xml:space="preserve"> </w:t>
      </w:r>
      <w:r>
        <w:t xml:space="preserve">Confirm the population source table directly rather than relying on a pre-filtered report. [Navigation: type SE16N, enter the relevant table, confirm record count against any report total being compared.]</w:t>
      </w:r>
    </w:p>
    <w:p>
      <w:pPr>
        <w:pStyle w:val="BodyText"/>
      </w:pPr>
      <w:r>
        <w:rPr>
          <w:bCs/>
          <w:b/>
        </w:rPr>
        <w:t xml:space="preserve">Sample Selection (Random / Haphazard / Judgmental):</w:t>
      </w:r>
      <w:r>
        <w:t xml:space="preserve"> </w:t>
      </w:r>
      <w:r>
        <w:t xml:space="preserve">Select the sample using the documented method and record the selection rationale in the workpaper.</w:t>
      </w:r>
    </w:p>
    <w:bookmarkEnd w:id="23"/>
    <w:bookmarkStart w:id="24" w:name="the-question-to-bring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Could this control ever have passed, whatever the sample? Defend your sample size and your population source as two separate decisions.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24"/>
    <w:bookmarkEnd w:id="25"/>
    <w:bookmarkEnd w:id="26"/>
    <w:bookmarkStart w:id="32" w:name="Xfcd0d32eadd003ed52b3628958d5f18ba4891d1"/>
    <w:p>
      <w:pPr>
        <w:pStyle w:val="Heading2"/>
      </w:pPr>
      <w:r>
        <w:t xml:space="preserve">Session 6 — Thu · Book 39 — What Kind of Finding Is This</w:t>
      </w:r>
    </w:p>
    <w:p>
      <w:pPr>
        <w:pStyle w:val="FirstParagraph"/>
      </w:pPr>
      <w:r>
        <w:rPr>
          <w:bCs/>
          <w:b/>
        </w:rPr>
        <w:t xml:space="preserve">The deficiency memo is assigned in this session</w:t>
      </w:r>
      <w:r>
        <w:t xml:space="preserve"> </w:t>
      </w:r>
      <w:r>
        <w:t xml:space="preserve">— due 23:59 CT on the day of session 10.</w:t>
      </w:r>
    </w:p>
    <w:bookmarkStart w:id="31" w:name="book-39-what-kind-of-finding-is-this"/>
    <w:p>
      <w:pPr>
        <w:pStyle w:val="Heading3"/>
      </w:pPr>
      <w:r>
        <w:t xml:space="preserve">Book 39 — What Kind of Finding Is This</w:t>
      </w:r>
    </w:p>
    <w:p>
      <w:pPr>
        <w:pStyle w:val="FirstParagraph"/>
      </w:pPr>
      <w:r>
        <w:rPr>
          <w:iCs/>
          <w:i/>
        </w:rPr>
        <w:t xml:space="preserve">Part XI · Deficiency Classification</w:t>
      </w:r>
    </w:p>
    <w:p>
      <w:pPr>
        <w:pStyle w:val="BodyText"/>
      </w:pPr>
      <w:r>
        <w:rPr>
          <w:bCs/>
          <w:b/>
        </w:rPr>
        <w:t xml:space="preserve">Scope area: Deficiency Classification</w:t>
      </w:r>
    </w:p>
    <w:p>
      <w:pPr>
        <w:pStyle w:val="BodyText"/>
      </w:pPr>
      <w:r>
        <w:t xml:space="preserve">As engagement manager, take the findings accumulated across this engagement's fieldwork and classify each one by severity — deficiency, significant deficiency, or material weakness — using a consistent, documented framework rather than gut feel or how uncomfortable the finding is to deliver.</w:t>
      </w:r>
    </w:p>
    <w:bookmarkStart w:id="27" w:name="what-to-watch-for-1"/>
    <w:p>
      <w:pPr>
        <w:pStyle w:val="Heading5"/>
      </w:pPr>
      <w:r>
        <w:t xml:space="preserve">What to watch for</w:t>
      </w:r>
    </w:p>
    <w:p>
      <w:pPr>
        <w:pStyle w:val="FirstParagraph"/>
      </w:pPr>
      <w:r>
        <w:t xml:space="preserve">Rating every finding the same severity because that's administratively simpler, or downgrading a finding because delivering a "material weakness" conversation is uncomfortable, both break the classification framework's only real job — giving management and the board an honest picture of where the risk actually is.</w:t>
      </w:r>
    </w:p>
    <w:bookmarkEnd w:id="27"/>
    <w:bookmarkStart w:id="28" w:name="evidence-you-will-need-1"/>
    <w:p>
      <w:pPr>
        <w:pStyle w:val="Heading5"/>
      </w:pPr>
      <w:r>
        <w:t xml:space="preserve">Evidence you will need</w:t>
      </w:r>
    </w:p>
    <w:p>
      <w:pPr>
        <w:pStyle w:val="FirstParagraph"/>
      </w:pPr>
      <w:r>
        <w:t xml:space="preserve">The compiled findings inventory, the quantitative impact assessment per finding, the compensating-control cross-reference, and the severity classification memo with documented rationale.</w:t>
      </w:r>
    </w:p>
    <w:bookmarkEnd w:id="28"/>
    <w:bookmarkStart w:id="29" w:name="X18ce9bc32099f3a79b8dbf3bc1f90b3b845ac76"/>
    <w:p>
      <w:pPr>
        <w:pStyle w:val="Heading5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Findings Inventory (Manager Workpaper):</w:t>
      </w:r>
      <w:r>
        <w:t xml:space="preserve"> </w:t>
      </w:r>
      <w:r>
        <w:t xml:space="preserve">Compile every finding from the engagement's fieldwork Books into a single inventory before individually rating any of them.</w:t>
      </w:r>
    </w:p>
    <w:p>
      <w:pPr>
        <w:pStyle w:val="BodyText"/>
      </w:pPr>
      <w:r>
        <w:rPr>
          <w:bCs/>
          <w:b/>
        </w:rPr>
        <w:t xml:space="preserve">Quantitative Impact Assessment (Manager Workpaper):</w:t>
      </w:r>
      <w:r>
        <w:t xml:space="preserve"> </w:t>
      </w:r>
      <w:r>
        <w:t xml:space="preserve">Recalculate or confirm each finding's full population impact rather than relying on the original sample count.</w:t>
      </w:r>
    </w:p>
    <w:p>
      <w:pPr>
        <w:pStyle w:val="BodyText"/>
      </w:pPr>
      <w:r>
        <w:rPr>
          <w:bCs/>
          <w:b/>
        </w:rPr>
        <w:t xml:space="preserve">RCM Cross-Reference (Manager Workpaper):</w:t>
      </w:r>
      <w:r>
        <w:t xml:space="preserve"> </w:t>
      </w:r>
      <w:r>
        <w:t xml:space="preserve">Check the RCM for a compensating control relevant to each finding before finalizing its severity.</w:t>
      </w:r>
    </w:p>
    <w:p>
      <w:pPr>
        <w:pStyle w:val="BodyText"/>
      </w:pPr>
      <w:r>
        <w:rPr>
          <w:bCs/>
          <w:b/>
        </w:rPr>
        <w:t xml:space="preserve">Severity Classification Memo (Manager Workpaper):</w:t>
      </w:r>
      <w:r>
        <w:t xml:space="preserve"> </w:t>
      </w:r>
      <w:r>
        <w:t xml:space="preserve">Apply the documented severity framework to every finding and record the specific rationale for each rating.</w:t>
      </w:r>
    </w:p>
    <w:bookmarkEnd w:id="29"/>
    <w:bookmarkStart w:id="30" w:name="the-question-to-bring-1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Deficiency, significant deficiency or material weakness — defend it in one sentence: impact, pervasiveness, compensating controls.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30"/>
    <w:bookmarkEnd w:id="31"/>
    <w:bookmarkEnd w:id="32"/>
    <w:bookmarkStart w:id="38" w:name="session-7-sat-book-33-the-other-platform"/>
    <w:p>
      <w:pPr>
        <w:pStyle w:val="Heading2"/>
      </w:pPr>
      <w:r>
        <w:t xml:space="preserve">Session 7 — Sat · Book 33 — The Other Platform</w:t>
      </w:r>
    </w:p>
    <w:bookmarkStart w:id="37" w:name="book-33-the-other-platform"/>
    <w:p>
      <w:pPr>
        <w:pStyle w:val="Heading3"/>
      </w:pPr>
      <w:r>
        <w:t xml:space="preserve">Book 33 — The Other Platform</w:t>
      </w:r>
    </w:p>
    <w:p>
      <w:pPr>
        <w:pStyle w:val="FirstParagraph"/>
      </w:pPr>
      <w:r>
        <w:rPr>
          <w:iCs/>
          <w:i/>
        </w:rPr>
        <w:t xml:space="preserve">Part X · Third-Party GRC Tools vs. Native SAP GRC AC</w:t>
      </w:r>
    </w:p>
    <w:p>
      <w:pPr>
        <w:pStyle w:val="BodyText"/>
      </w:pPr>
      <w:r>
        <w:rPr>
          <w:bCs/>
          <w:b/>
        </w:rPr>
        <w:t xml:space="preserve">Scope area: Third-Party GRC Tools vs. Native SAP GRC AC</w:t>
      </w:r>
    </w:p>
    <w:p>
      <w:pPr>
        <w:pStyle w:val="BodyText"/>
      </w:pPr>
      <w:r>
        <w:t xml:space="preserve">Confirm which platform is authoritative for SoD risk analysis when a client runs both native SAP GRC Access Control and a third-party tool (Fastpath, Pathlock, SailPoint) side by side — and reconcile the difference before trusting either one's exception count.</w:t>
      </w:r>
    </w:p>
    <w:bookmarkStart w:id="33" w:name="what-to-watch-for-2"/>
    <w:p>
      <w:pPr>
        <w:pStyle w:val="Heading4"/>
      </w:pPr>
      <w:r>
        <w:t xml:space="preserve">What to watch for</w:t>
      </w:r>
    </w:p>
    <w:p>
      <w:pPr>
        <w:pStyle w:val="FirstParagraph"/>
      </w:pPr>
      <w:r>
        <w:t xml:space="preserve">Two tools analyzing "the same" access can legitimately disagree — the failure isn't disagreement, it's not noticing it, or trusting whichever number is smaller without checking why.</w:t>
      </w:r>
    </w:p>
    <w:bookmarkEnd w:id="33"/>
    <w:bookmarkStart w:id="34" w:name="evidence-you-will-need-2"/>
    <w:p>
      <w:pPr>
        <w:pStyle w:val="Heading4"/>
      </w:pPr>
      <w:r>
        <w:t xml:space="preserve">Evidence you will need</w:t>
      </w:r>
    </w:p>
    <w:p>
      <w:pPr>
        <w:pStyle w:val="FirstParagraph"/>
      </w:pPr>
      <w:r>
        <w:t xml:space="preserve">Risk analysis exports from both platforms for the same scope, the ruleset comparison, the SAP user-master cross-check, and a documented rationale for which platform's output the testing conclusion relies on.</w:t>
      </w:r>
    </w:p>
    <w:bookmarkEnd w:id="34"/>
    <w:bookmarkStart w:id="35" w:name="X1ad0ee9c5b689423e95fe83bb289136c505c6fd"/>
    <w:p>
      <w:pPr>
        <w:pStyle w:val="Heading4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GRC Access Risk Analysis (SAP GRC AC):</w:t>
      </w:r>
      <w:r>
        <w:t xml:space="preserve"> </w:t>
      </w:r>
      <w:r>
        <w:t xml:space="preserve">Open the Access Risk Analysis app from the Fiori Launchpad or NWBC, set Analysis Type = User Level, and run for the same scope you'll use on the third-party platform. [Navigation: App Finder search "Access Risk Analysis", set filters, execute, export results.]</w:t>
      </w:r>
    </w:p>
    <w:p>
      <w:pPr>
        <w:pStyle w:val="BodyText"/>
      </w:pPr>
      <w:r>
        <w:rPr>
          <w:bCs/>
          <w:b/>
        </w:rPr>
        <w:t xml:space="preserve">Pathlock Access Risk Dashboard (Pathlock Cloud):</w:t>
      </w:r>
      <w:r>
        <w:t xml:space="preserve"> </w:t>
      </w:r>
      <w:r>
        <w:t xml:space="preserve">Log into the Pathlock Cloud console (or Fastpath / AuditBoard, depending on the client), open Access Risk Analysis, and run the identical scope/period. [Navigation varies by client tenant — request administrator walkthrough on first use.]</w:t>
      </w:r>
    </w:p>
    <w:p>
      <w:pPr>
        <w:pStyle w:val="BodyText"/>
      </w:pPr>
      <w:r>
        <w:rPr>
          <w:bCs/>
          <w:b/>
        </w:rPr>
        <w:t xml:space="preserve">SE16N (SAP GUI):</w:t>
      </w:r>
      <w:r>
        <w:t xml:space="preserve"> </w:t>
      </w:r>
      <w:r>
        <w:t xml:space="preserve">Display table USR02 or AGR_USERS to independently confirm the SAP user population both tools should be analyzing. [Navigation: type SE16N, enter the table, execute.]</w:t>
      </w:r>
    </w:p>
    <w:p>
      <w:pPr>
        <w:pStyle w:val="BodyText"/>
      </w:pPr>
      <w:r>
        <w:rPr>
          <w:bCs/>
          <w:b/>
        </w:rPr>
        <w:t xml:space="preserve">Ruleset Export (Both platforms):</w:t>
      </w:r>
      <w:r>
        <w:t xml:space="preserve"> </w:t>
      </w:r>
      <w:r>
        <w:t xml:space="preserve">Request each platform's rule/risk definition export and compare line by line for the risk IDs showing a mismatch. [No SAP GUI navigation — request directly from each platform's administrator.]</w:t>
      </w:r>
    </w:p>
    <w:p>
      <w:pPr>
        <w:pStyle w:val="BodyText"/>
      </w:pPr>
      <w:r>
        <w:rPr>
          <w:bCs/>
          <w:b/>
        </w:rPr>
        <w:t xml:space="preserve">Then:</w:t>
      </w:r>
      <w:r>
        <w:t xml:space="preserve"> </w:t>
      </w:r>
      <w:r>
        <w:t xml:space="preserve">Where a mismatch traces to a stale rule mapping or an out-of-scope application, document the root cause explicitly rather than simply reporting the two numbers side by side.</w:t>
      </w:r>
    </w:p>
    <w:bookmarkEnd w:id="35"/>
    <w:bookmarkStart w:id="36" w:name="the-question-to-bring-2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Your client runs Pathlock, not GRC AC — which of your tests still hold, and what evidence changes?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36"/>
    <w:bookmarkEnd w:id="37"/>
    <w:bookmarkEnd w:id="38"/>
    <w:bookmarkStart w:id="44" w:name="Xe4d424b6fa624fced0963832faac8976f8cb6ac"/>
    <w:p>
      <w:pPr>
        <w:pStyle w:val="Heading2"/>
      </w:pPr>
      <w:r>
        <w:t xml:space="preserve">Session 8 — Sun · Book 34 — The Spreadsheet That Found It</w:t>
      </w:r>
    </w:p>
    <w:bookmarkStart w:id="43" w:name="book-34-the-spreadsheet-that-found-it"/>
    <w:p>
      <w:pPr>
        <w:pStyle w:val="Heading3"/>
      </w:pPr>
      <w:r>
        <w:t xml:space="preserve">Book 34 — The Spreadsheet That Found It</w:t>
      </w:r>
    </w:p>
    <w:p>
      <w:pPr>
        <w:pStyle w:val="FirstParagraph"/>
      </w:pPr>
      <w:r>
        <w:rPr>
          <w:iCs/>
          <w:i/>
        </w:rPr>
        <w:t xml:space="preserve">Part X · Data Analytics for Full-Population Testing</w:t>
      </w:r>
    </w:p>
    <w:p>
      <w:pPr>
        <w:pStyle w:val="BodyText"/>
      </w:pPr>
      <w:r>
        <w:rPr>
          <w:bCs/>
          <w:b/>
        </w:rPr>
        <w:t xml:space="preserve">Scope area: Data Analytics for Full-Population Testing</w:t>
      </w:r>
    </w:p>
    <w:p>
      <w:pPr>
        <w:pStyle w:val="BodyText"/>
      </w:pPr>
      <w:r>
        <w:t xml:space="preserve">Recognize when a testing population is large enough that manual sampling risks missing a systemic issue, and use basic data-analytics tooling (SQL, Alteryx, Power BI, ACL) to test the full population instead of a small sample.</w:t>
      </w:r>
    </w:p>
    <w:bookmarkStart w:id="39" w:name="what-to-watch-for-3"/>
    <w:p>
      <w:pPr>
        <w:pStyle w:val="Heading4"/>
      </w:pPr>
      <w:r>
        <w:t xml:space="preserve">What to watch for</w:t>
      </w:r>
    </w:p>
    <w:p>
      <w:pPr>
        <w:pStyle w:val="FirstParagraph"/>
      </w:pPr>
      <w:r>
        <w:t xml:space="preserve">A manual sample of 25 out of tens of thousands will almost never surface a pattern that only exists in aggregate — when population size and a plausible "stay under the radar" behavior both point the same way, that's the signal to run the full population through a query, not stretch the sample size.</w:t>
      </w:r>
    </w:p>
    <w:bookmarkEnd w:id="39"/>
    <w:bookmarkStart w:id="40" w:name="evidence-you-will-need-3"/>
    <w:p>
      <w:pPr>
        <w:pStyle w:val="Heading4"/>
      </w:pPr>
      <w:r>
        <w:t xml:space="preserve">Evidence you will need</w:t>
      </w:r>
    </w:p>
    <w:p>
      <w:pPr>
        <w:pStyle w:val="FirstParagraph"/>
      </w:pPr>
      <w:r>
        <w:t xml:space="preserve">The full-population extract, the query or formula used to calculate variance, the resulting exception list sorted by threshold proximity, and manual validation of a sample of the analytics-identified exceptions directly in SAP.</w:t>
      </w:r>
    </w:p>
    <w:bookmarkEnd w:id="40"/>
    <w:bookmarkStart w:id="41" w:name="X8f1a6327af44607f0bebd809d58deb4bd7896bf"/>
    <w:p>
      <w:pPr>
        <w:pStyle w:val="Heading4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SE16N (SAP GUI):</w:t>
      </w:r>
      <w:r>
        <w:t xml:space="preserve"> </w:t>
      </w:r>
      <w:r>
        <w:t xml:space="preserve">Display table RSEG for the full test period and export the complete result set — not a pre-filtered subset. [Navigation: type SE16N, enter RSEG, set the date range, execute, then export via the results toolbar.]</w:t>
      </w:r>
    </w:p>
    <w:p>
      <w:pPr>
        <w:pStyle w:val="BodyText"/>
      </w:pPr>
      <w:r>
        <w:rPr>
          <w:bCs/>
          <w:b/>
        </w:rPr>
        <w:t xml:space="preserve">SQL / Alteryx (SQL or Alteryx):</w:t>
      </w:r>
      <w:r>
        <w:t xml:space="preserve"> </w:t>
      </w:r>
      <w:r>
        <w:t xml:space="preserve">Load the exported population and calculate variance-to-absolute-limit for every row in a single pass. [No SAP navigation — this step runs outside SAP GUI, in your analytics tool of choice.]</w:t>
      </w:r>
    </w:p>
    <w:p>
      <w:pPr>
        <w:pStyle w:val="BodyText"/>
      </w:pPr>
      <w:r>
        <w:rPr>
          <w:bCs/>
          <w:b/>
        </w:rPr>
        <w:t xml:space="preserve">Power BI / Excel (Power BI or Excel):</w:t>
      </w:r>
      <w:r>
        <w:t xml:space="preserve"> </w:t>
      </w:r>
      <w:r>
        <w:t xml:space="preserve">Build a pivot table or dashboard grouping the full-population result by vendor and sorting by proximity to the tolerance limit. [No SAP navigation — this step runs outside SAP GUI.]</w:t>
      </w:r>
    </w:p>
    <w:p>
      <w:pPr>
        <w:pStyle w:val="BodyText"/>
      </w:pPr>
      <w:r>
        <w:rPr>
          <w:bCs/>
          <w:b/>
        </w:rPr>
        <w:t xml:space="preserve">FB03 / SE16N (SAP GUI):</w:t>
      </w:r>
      <w:r>
        <w:t xml:space="preserve"> </w:t>
      </w:r>
      <w:r>
        <w:t xml:space="preserve">Manually validate a sample of the analytics-identified exceptions directly in SAP before relying on the tool's output. [Navigation: type FB03 or SE16N, pull the specific document identified by the analytics output, confirm it matches.]</w:t>
      </w:r>
    </w:p>
    <w:p>
      <w:pPr>
        <w:pStyle w:val="BodyText"/>
      </w:pPr>
      <w:r>
        <w:rPr>
          <w:bCs/>
          <w:b/>
        </w:rPr>
        <w:t xml:space="preserve">Then:</w:t>
      </w:r>
      <w:r>
        <w:t xml:space="preserve"> </w:t>
      </w:r>
      <w:r>
        <w:t xml:space="preserve">If the full-population query surfaces vendors or patterns the original manual sample missed entirely, document that gap explicitly — it says something about the sampling approach, not just about the vendors.</w:t>
      </w:r>
    </w:p>
    <w:bookmarkEnd w:id="41"/>
    <w:bookmarkStart w:id="42" w:name="the-question-to-bring-3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You tested the full population — so what is your exception rate, and which exceptions are noise?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42"/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2026-10-22T15:48:31Z</dcterms:created>
  <dcterms:modified xsi:type="dcterms:W3CDTF">2026-10-22T15:48:31Z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