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reading-pack-advanced-week-3"/>
    <w:p>
      <w:pPr>
        <w:pStyle w:val="Heading1"/>
      </w:pPr>
      <w:r>
        <w:t xml:space="preserve">Reading Pack — Advanced Week 3</w:t>
      </w:r>
    </w:p>
    <w:p>
      <w:pPr>
        <w:pStyle w:val="FirstParagraph"/>
      </w:pPr>
      <w:r>
        <w:rPr>
          <w:iCs/>
          <w:i/>
        </w:rPr>
        <w:t xml:space="preserve">Advanced · Sessions 9–12 · The Full Sweep · Thornfield Industrial Group</w:t>
      </w:r>
    </w:p>
    <w:bookmarkStart w:id="20" w:name="before-you-start"/>
    <w:p>
      <w:pPr>
        <w:pStyle w:val="Heading2"/>
      </w:pPr>
      <w:r>
        <w:t xml:space="preserve">Before you start</w:t>
      </w:r>
    </w:p>
    <w:p>
      <w:pPr>
        <w:pStyle w:val="FirstParagraph"/>
      </w:pPr>
      <w:r>
        <w:t xml:space="preserve">Advanced Week 3 looks forward — AI-assisted review and Clean Core — then closes with the capstone and the stakeholder panel.</w:t>
      </w:r>
    </w:p>
    <w:p>
      <w:pPr>
        <w:pStyle w:val="BodyText"/>
      </w:pPr>
      <w:r>
        <w:t xml:space="preserve">Read each session’s section</w:t>
      </w:r>
      <w:r>
        <w:t xml:space="preserve"> </w:t>
      </w:r>
      <w:r>
        <w:rPr>
          <w:bCs/>
          <w:b/>
        </w:rPr>
        <w:t xml:space="preserve">before</w:t>
      </w:r>
      <w:r>
        <w:t xml:space="preserve"> </w:t>
      </w:r>
      <w:r>
        <w:t xml:space="preserve">that session — about 45–60 minutes per session. The course app has the exact screens; this pack has the reasoning the app has no field for: the control objective, the population, what a reviewer will ask, and what to conclude. In the app, open the menu on</w:t>
      </w:r>
      <w:r>
        <w:t xml:space="preserve"> </w:t>
      </w:r>
      <w:r>
        <w:rPr>
          <w:bCs/>
          <w:b/>
        </w:rPr>
        <w:t xml:space="preserve">By session</w:t>
      </w:r>
      <w:r>
        <w:t xml:space="preserve"> </w:t>
      </w:r>
      <w:r>
        <w:t xml:space="preserve">— the rows match the sessions in this pack, and</w:t>
      </w:r>
      <w:r>
        <w:t xml:space="preserve"> </w:t>
      </w:r>
      <w:r>
        <w:rPr>
          <w:bCs/>
          <w:b/>
        </w:rPr>
        <w:t xml:space="preserve">▶ Next</w:t>
      </w:r>
      <w:r>
        <w:t xml:space="preserve"> </w:t>
      </w:r>
      <w:r>
        <w:t xml:space="preserve">takes you through them in the same order.</w:t>
      </w:r>
    </w:p>
    <w:p>
      <w:pPr>
        <w:pStyle w:val="BodyText"/>
      </w:pPr>
      <w:r>
        <w:rPr>
          <w:bCs/>
          <w:b/>
        </w:rPr>
        <w:t xml:space="preserve">Studying on your own?</w:t>
      </w:r>
      <w:r>
        <w:t xml:space="preserve"> </w:t>
      </w:r>
      <w:r>
        <w:t xml:space="preserve">Treat each session below as one sitting of about two hours: read the section, do the Book in SAP with the app beside you, upload your exhibit, then answer the question to bring — out loud or in writing — before moving on.</w:t>
      </w:r>
    </w:p>
    <w:bookmarkEnd w:id="20"/>
    <w:bookmarkStart w:id="26" w:name="X14e4e66ec2c919af4a921117292003596200a53"/>
    <w:p>
      <w:pPr>
        <w:pStyle w:val="Heading2"/>
      </w:pPr>
      <w:r>
        <w:t xml:space="preserve">Session 9 — Tue · Book 35 — The Recommendation Nobody Checked</w:t>
      </w:r>
    </w:p>
    <w:bookmarkStart w:id="25" w:name="X51d914f0178112c578babf6a6fc12e6f37f70d6"/>
    <w:p>
      <w:pPr>
        <w:pStyle w:val="Heading3"/>
      </w:pPr>
      <w:r>
        <w:t xml:space="preserve">Book 35 — The Recommendation Nobody Checked</w:t>
      </w:r>
    </w:p>
    <w:p>
      <w:pPr>
        <w:pStyle w:val="FirstParagraph"/>
      </w:pPr>
      <w:r>
        <w:rPr>
          <w:iCs/>
          <w:i/>
        </w:rPr>
        <w:t xml:space="preserve">Part X · Joule-Assisted Review &amp; Continuous Controls Monitoring</w:t>
      </w:r>
    </w:p>
    <w:p>
      <w:pPr>
        <w:pStyle w:val="BodyText"/>
      </w:pPr>
      <w:r>
        <w:rPr>
          <w:bCs/>
          <w:b/>
        </w:rPr>
        <w:t xml:space="preserve">Scope area: GRC 2026 / Joule-Assisted Review &amp; Continuous Controls Monitoring Awareness</w:t>
      </w:r>
    </w:p>
    <w:p>
      <w:pPr>
        <w:pStyle w:val="BodyText"/>
      </w:pPr>
      <w:r>
        <w:t xml:space="preserve">Confirm that access-request approvers are still exercising independent judgment when SAP GRC 2026's Joule-assisted recommendations sit next to every request — not simply clicking whatever the AI suggests.</w:t>
      </w:r>
    </w:p>
    <w:bookmarkStart w:id="21" w:name="what-to-watch-for"/>
    <w:p>
      <w:pPr>
        <w:pStyle w:val="Heading4"/>
      </w:pPr>
      <w:r>
        <w:t xml:space="preserve">What to watch for</w:t>
      </w:r>
    </w:p>
    <w:p>
      <w:pPr>
        <w:pStyle w:val="FirstParagraph"/>
      </w:pPr>
      <w:r>
        <w:t xml:space="preserve">A high AI-agreement rate looks efficient and reads terribly in a workpaper — it's exactly the pattern that should trigger closer testing, not less, since it's indistinguishable from an approver who stopped reading the request and started reading the recommendation instead.</w:t>
      </w:r>
    </w:p>
    <w:bookmarkEnd w:id="21"/>
    <w:bookmarkStart w:id="22" w:name="evidence-you-will-need"/>
    <w:p>
      <w:pPr>
        <w:pStyle w:val="Heading4"/>
      </w:pPr>
      <w:r>
        <w:t xml:space="preserve">Evidence you will need</w:t>
      </w:r>
    </w:p>
    <w:p>
      <w:pPr>
        <w:pStyle w:val="FirstParagraph"/>
      </w:pPr>
      <w:r>
        <w:t xml:space="preserve">The approval decision log paired with each Joule recommendation, the match-rate and elapsed-time calculations, and the CCM rule-change approval trail for AI-generated or AI-modified rules.</w:t>
      </w:r>
    </w:p>
    <w:bookmarkEnd w:id="22"/>
    <w:bookmarkStart w:id="23" w:name="X1c89ceffc96a65f9f6804de866e3ed6ca110b37"/>
    <w:p>
      <w:pPr>
        <w:pStyle w:val="Heading4"/>
      </w:pPr>
      <w:r>
        <w:t xml:space="preserve">Execution steps (as they appear in the app)</w:t>
      </w:r>
    </w:p>
    <w:p>
      <w:pPr>
        <w:pStyle w:val="FirstParagraph"/>
      </w:pPr>
      <w:r>
        <w:rPr>
          <w:bCs/>
          <w:b/>
        </w:rPr>
        <w:t xml:space="preserve">Access Request Approval (GRC Access Control (GRC 2026)):</w:t>
      </w:r>
      <w:r>
        <w:t xml:space="preserve"> </w:t>
      </w:r>
      <w:r>
        <w:t xml:space="preserve">Open the Access Request Approval app and review a live pending request to see how the Joule recommendation is displayed alongside it. [Navigation: Fiori Launchpad, App Finder search "Access Request Approval".]</w:t>
      </w:r>
    </w:p>
    <w:p>
      <w:pPr>
        <w:pStyle w:val="BodyText"/>
      </w:pPr>
      <w:r>
        <w:rPr>
          <w:bCs/>
          <w:b/>
        </w:rPr>
        <w:t xml:space="preserve">Approval Decision Log (GRC Access Control (GRC 2026)):</w:t>
      </w:r>
      <w:r>
        <w:t xml:space="preserve"> </w:t>
      </w:r>
      <w:r>
        <w:t xml:space="preserve">Export the full decision log for the test period, including the AI recommendation field. [Navigation: from the approval app's history view, use the export/download option.]</w:t>
      </w:r>
    </w:p>
    <w:p>
      <w:pPr>
        <w:pStyle w:val="BodyText"/>
      </w:pPr>
      <w:r>
        <w:rPr>
          <w:bCs/>
          <w:b/>
        </w:rPr>
        <w:t xml:space="preserve">Timestamp Log (GRC 2026 / SAP GUI):</w:t>
      </w:r>
      <w:r>
        <w:t xml:space="preserve"> </w:t>
      </w:r>
      <w:r>
        <w:t xml:space="preserve">Pull the elapsed time between request-opened and decision-made for each sampled approval. [Navigation: typically available in the same decision log export, or via SWI1 workflow timestamps if routed through classic workflow.]</w:t>
      </w:r>
    </w:p>
    <w:p>
      <w:pPr>
        <w:pStyle w:val="BodyText"/>
      </w:pPr>
      <w:r>
        <w:rPr>
          <w:bCs/>
          <w:b/>
        </w:rPr>
        <w:t xml:space="preserve">CCM Rule Configuration (GRC Process Control (GRC 2026)):</w:t>
      </w:r>
      <w:r>
        <w:t xml:space="preserve"> </w:t>
      </w:r>
      <w:r>
        <w:t xml:space="preserve">Review the change history for any CCM rule Joule generated or modified during the period. [Navigation: open the rule configuration app, select the rule, view its change/version history.]</w:t>
      </w:r>
    </w:p>
    <w:p>
      <w:pPr>
        <w:pStyle w:val="BodyText"/>
      </w:pPr>
      <w:r>
        <w:rPr>
          <w:bCs/>
          <w:b/>
        </w:rPr>
        <w:t xml:space="preserve">Then:</w:t>
      </w:r>
      <w:r>
        <w:t xml:space="preserve"> </w:t>
      </w:r>
      <w:r>
        <w:t xml:space="preserve">Treat a near-100% AI-agreement rate as a testing trigger, not a clean result — dig into elapsed time and a sample of the matched decisions before concluding the control operates effectively.</w:t>
      </w:r>
    </w:p>
    <w:bookmarkEnd w:id="23"/>
    <w:bookmarkStart w:id="24" w:name="the-question-to-bring"/>
    <w:p>
      <w:pPr>
        <w:pStyle w:val="Heading4"/>
      </w:pPr>
      <w:r>
        <w:t xml:space="preserve">The question to bring</w:t>
      </w:r>
    </w:p>
    <w:p>
      <w:pPr>
        <w:pStyle w:val="BlockText"/>
      </w:pPr>
      <w:r>
        <w:t xml:space="preserve">Joule flagged it — did you re-perform the check yourself, or accept the recommendation?</w:t>
      </w:r>
    </w:p>
    <w:p>
      <w:pPr>
        <w:pStyle w:val="FirstParagraph"/>
      </w:pPr>
      <w:r>
        <w:t xml:space="preserve">Decide your answer before the session — in Defend It, someone will ask it.</w:t>
      </w:r>
    </w:p>
    <w:bookmarkEnd w:id="24"/>
    <w:bookmarkEnd w:id="25"/>
    <w:bookmarkEnd w:id="26"/>
    <w:bookmarkStart w:id="32" w:name="Xca65e7b21b4f7949318ad47098d6c421f2af809"/>
    <w:p>
      <w:pPr>
        <w:pStyle w:val="Heading2"/>
      </w:pPr>
      <w:r>
        <w:t xml:space="preserve">Session 10 — Thu · Book 40 — The Control That Moved</w:t>
      </w:r>
    </w:p>
    <w:bookmarkStart w:id="31" w:name="book-40-the-control-that-moved"/>
    <w:p>
      <w:pPr>
        <w:pStyle w:val="Heading3"/>
      </w:pPr>
      <w:r>
        <w:t xml:space="preserve">Book 40 — The Control That Moved</w:t>
      </w:r>
    </w:p>
    <w:p>
      <w:pPr>
        <w:pStyle w:val="FirstParagraph"/>
      </w:pPr>
      <w:r>
        <w:rPr>
          <w:iCs/>
          <w:i/>
        </w:rPr>
        <w:t xml:space="preserve">Part XII · Extensibility Classification, Transport Governance &amp; AI Code Review</w:t>
      </w:r>
    </w:p>
    <w:p>
      <w:pPr>
        <w:pStyle w:val="BodyText"/>
      </w:pPr>
      <w:r>
        <w:rPr>
          <w:bCs/>
          <w:b/>
        </w:rPr>
        <w:t xml:space="preserve">Scope area: Extensibility Classification, Transport Governance &amp; AI Code Review</w:t>
      </w:r>
    </w:p>
    <w:p>
      <w:pPr>
        <w:pStyle w:val="BodyText"/>
      </w:pPr>
      <w:r>
        <w:t xml:space="preserve">As engagement manager, establish the governance checkpoints a control needs to survive Thornfield's move to S/4HANA Cloud under Clean Core — classify the custom object behind the control by extensibility level, confirm every transport touching it carries proper Clean Core sign-off, and review any AI-generated ABAP proposed as its replacement before it ever reaches production.</w:t>
      </w:r>
    </w:p>
    <w:bookmarkStart w:id="27" w:name="what-to-watch-for-1"/>
    <w:p>
      <w:pPr>
        <w:pStyle w:val="Heading4"/>
      </w:pPr>
      <w:r>
        <w:t xml:space="preserve">What to watch for</w:t>
      </w:r>
    </w:p>
    <w:p>
      <w:pPr>
        <w:pStyle w:val="FirstParagraph"/>
      </w:pPr>
      <w:r>
        <w:t xml:space="preserve">Treating 'the report still runs' as proof a control survived Clean Core remediation intact, or treating AI-generated code as pre-approved because it compiled and passed a unit test — both skip the actual governance question, which is whether the object's classification, its transport history, and its review trail can withstand being asked about individually, not just whether the output looks right today.</w:t>
      </w:r>
    </w:p>
    <w:bookmarkEnd w:id="27"/>
    <w:bookmarkStart w:id="28" w:name="evidence-you-will-need-1"/>
    <w:p>
      <w:pPr>
        <w:pStyle w:val="Heading4"/>
      </w:pPr>
      <w:r>
        <w:t xml:space="preserve">Evidence you will need</w:t>
      </w:r>
    </w:p>
    <w:p>
      <w:pPr>
        <w:pStyle w:val="FirstParagraph"/>
      </w:pPr>
      <w:r>
        <w:t xml:space="preserve">The custom-code extensibility classification output, the transport log with sign-off and Clean Core impact notes for the review period, the AI-code review sign-off record where Joule for Developers or an equivalent tool was used, and the custom-code migration worklist cross-reference.</w:t>
      </w:r>
    </w:p>
    <w:bookmarkEnd w:id="28"/>
    <w:bookmarkStart w:id="29" w:name="X18ce9bc32099f3a79b8dbf3bc1f90b3b845ac76"/>
    <w:p>
      <w:pPr>
        <w:pStyle w:val="Heading4"/>
      </w:pPr>
      <w:r>
        <w:t xml:space="preserve">Execution steps (as they appear in the app)</w:t>
      </w:r>
    </w:p>
    <w:p>
      <w:pPr>
        <w:pStyle w:val="FirstParagraph"/>
      </w:pPr>
      <w:r>
        <w:rPr>
          <w:bCs/>
          <w:b/>
        </w:rPr>
        <w:t xml:space="preserve">Extensibility-Level Classification (SAP Readiness Check):</w:t>
      </w:r>
      <w:r>
        <w:t xml:space="preserve"> </w:t>
      </w:r>
      <w:r>
        <w:t xml:space="preserve">Classify the control's custom object A through D using the Custom Code Migration app output.</w:t>
      </w:r>
    </w:p>
    <w:p>
      <w:pPr>
        <w:pStyle w:val="BodyText"/>
      </w:pPr>
      <w:r>
        <w:rPr>
          <w:bCs/>
          <w:b/>
        </w:rPr>
        <w:t xml:space="preserve">Transport Governance Review (STMS):</w:t>
      </w:r>
      <w:r>
        <w:t xml:space="preserve"> </w:t>
      </w:r>
      <w:r>
        <w:t xml:space="preserve">Pull the transport log for the object and confirm sign-off and a Clean Core impact note on every entry.</w:t>
      </w:r>
    </w:p>
    <w:p>
      <w:pPr>
        <w:pStyle w:val="BodyText"/>
      </w:pPr>
      <w:r>
        <w:rPr>
          <w:bCs/>
          <w:b/>
        </w:rPr>
        <w:t xml:space="preserve">AI-Generated Code Review (Joule for Developers):</w:t>
      </w:r>
      <w:r>
        <w:t xml:space="preserve"> </w:t>
      </w:r>
      <w:r>
        <w:t xml:space="preserve">Confirm human sign-off on Clean Core compliance for any AI-assisted ABAP change before it was promoted.</w:t>
      </w:r>
    </w:p>
    <w:p>
      <w:pPr>
        <w:pStyle w:val="BodyText"/>
      </w:pPr>
      <w:r>
        <w:rPr>
          <w:bCs/>
          <w:b/>
        </w:rPr>
        <w:t xml:space="preserve">Migration Worklist Cross-Reference (SAP Readiness Check):</w:t>
      </w:r>
      <w:r>
        <w:t xml:space="preserve"> </w:t>
      </w:r>
      <w:r>
        <w:t xml:space="preserve">Check the object's documented disposition on the migration worklist against what was actually done.</w:t>
      </w:r>
    </w:p>
    <w:bookmarkEnd w:id="29"/>
    <w:bookmarkStart w:id="30" w:name="the-question-to-bring-1"/>
    <w:p>
      <w:pPr>
        <w:pStyle w:val="Heading4"/>
      </w:pPr>
      <w:r>
        <w:t xml:space="preserve">The question to bring</w:t>
      </w:r>
    </w:p>
    <w:p>
      <w:pPr>
        <w:pStyle w:val="BlockText"/>
      </w:pPr>
      <w:r>
        <w:t xml:space="preserve">Is this extension Level A or Level C — and who signed off the AI-generated code before transport?</w:t>
      </w:r>
    </w:p>
    <w:p>
      <w:pPr>
        <w:pStyle w:val="FirstParagraph"/>
      </w:pPr>
      <w:r>
        <w:t xml:space="preserve">Decide your answer before the session — in Defend It, someone will ask it.</w:t>
      </w:r>
    </w:p>
    <w:bookmarkEnd w:id="30"/>
    <w:bookmarkEnd w:id="31"/>
    <w:bookmarkEnd w:id="32"/>
    <w:bookmarkStart w:id="33" w:name="X88c0fef8371cdb4e6b70667253b3e12eda46624"/>
    <w:p>
      <w:pPr>
        <w:pStyle w:val="Heading2"/>
      </w:pPr>
      <w:r>
        <w:t xml:space="preserve">Session 11 — Sat · Capstone — severity rating and Audit Committee readout</w:t>
      </w:r>
    </w:p>
    <w:p>
      <w:pPr>
        <w:pStyle w:val="FirstParagraph"/>
      </w:pPr>
      <w:r>
        <w:rPr>
          <w:bCs/>
          <w:b/>
        </w:rPr>
        <w:t xml:space="preserve">Capstone — no Book.</w:t>
      </w:r>
      <w:r>
        <w:t xml:space="preserve"> </w:t>
      </w:r>
      <w:r>
        <w:t xml:space="preserve">Severity rating and Audit Committee readout preparation. The deficiency memo is marked.</w:t>
      </w:r>
      <w:r>
        <w:t xml:space="preserve"> </w:t>
      </w:r>
      <w:r>
        <w:rPr>
          <w:bCs/>
          <w:b/>
        </w:rPr>
        <w:t xml:space="preserve">Self-study:</w:t>
      </w:r>
      <w:r>
        <w:t xml:space="preserve"> </w:t>
      </w:r>
      <w:r>
        <w:t xml:space="preserve">finish and submit the memo, then draft a one-page readout: the finding, its severity, the remediation owner and the date.</w:t>
      </w:r>
    </w:p>
    <w:bookmarkEnd w:id="33"/>
    <w:bookmarkStart w:id="34" w:name="X20cef8ff9ea7636767cd7d1090273edc7515a09"/>
    <w:p>
      <w:pPr>
        <w:pStyle w:val="Heading2"/>
      </w:pPr>
      <w:r>
        <w:t xml:space="preserve">Session 12 — Sun · Stakeholder panel and close</w:t>
      </w:r>
    </w:p>
    <w:p>
      <w:pPr>
        <w:pStyle w:val="FirstParagraph"/>
      </w:pPr>
      <w:r>
        <w:rPr>
          <w:bCs/>
          <w:b/>
        </w:rPr>
        <w:t xml:space="preserve">Stakeholder panel and close — no Book.</w:t>
      </w:r>
      <w:r>
        <w:t xml:space="preserve"> </w:t>
      </w:r>
      <w:r>
        <w:t xml:space="preserve">Present one finding to an auditor, an SAP developer and a CFO, using the Stakeholder Panel Brief (TIB-FS-ASSESS-005). The panel is graded and completes the Advanced certificate. Self-study trainees sit the panel with TIB instructors.</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264" w:lineRule="auto"/>
    </w:pPr>
    <w:rPr>
      <w:rFonts w:ascii="Calibri" w:cs="Calibri" w:hAnsi="Calibri"/>
      <w:color w:val="1F2933"/>
      <w:sz w:val="21"/>
      <w:szCs w:val="21"/>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Normal"/>
    <w:qFormat/>
    <w:pPr>
      <w:keepNext/>
      <w:spacing w:after="80" w:before="0"/>
      <w:pBdr>
        <w:bottom w:color="C87F16" w:space="6" w:sz="18" w:val="single"/>
      </w:pBdr>
    </w:pPr>
    <w:rPr>
      <w:rFonts w:ascii="Cambria" w:hAnsi="Cambria"/>
      <w:b/>
      <w:color w:val="12203A"/>
      <w:sz w:val="40"/>
      <w:szCs w:val="40"/>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Normal"/>
    <w:qFormat/>
    <w:pPr>
      <w:keepNext/>
      <w:spacing w:after="140" w:before="360"/>
      <w:pBdr>
        <w:bottom w:color="D6DEEA" w:space="5" w:sz="8" w:val="single"/>
      </w:pBdr>
      <w:outlineLvl w:val="0"/>
    </w:pPr>
    <w:rPr>
      <w:rFonts w:ascii="Cambria" w:hAnsi="Cambria"/>
      <w:b/>
      <w:color w:val="1B3358"/>
      <w:sz w:val="30"/>
      <w:szCs w:val="30"/>
    </w:rPr>
  </w:style>
  <w:style w:styleId="Heading2" w:type="paragraph">
    <w:name w:val="heading 2"/>
    <w:basedOn w:val="Normal"/>
    <w:next w:val="Normal"/>
    <w:qFormat/>
    <w:pPr>
      <w:keepNext/>
      <w:spacing w:after="100" w:before="280"/>
      <w:outlineLvl w:val="1"/>
    </w:pPr>
    <w:rPr>
      <w:rFonts w:ascii="Cambria" w:hAnsi="Cambria"/>
      <w:b/>
      <w:color w:val="1B3358"/>
      <w:sz w:val="24"/>
      <w:szCs w:val="24"/>
    </w:rPr>
  </w:style>
  <w:style w:styleId="Heading3" w:type="paragraph">
    <w:name w:val="heading 3"/>
    <w:basedOn w:val="Normal"/>
    <w:next w:val="Normal"/>
    <w:qFormat/>
    <w:pPr>
      <w:keepNext/>
      <w:spacing w:after="80" w:before="240"/>
      <w:outlineLvl w:val="2"/>
    </w:pPr>
    <w:rPr>
      <w:rFonts w:ascii="Calibri" w:hAnsi="Calibri"/>
      <w:b/>
      <w:color w:val="C87F16"/>
      <w:sz w:val="21"/>
      <w:szCs w:val="21"/>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Normal"/>
    <w:pPr>
      <w:pBdr>
        <w:left w:color="C87F16" w:space="10" w:sz="18" w:val="single"/>
      </w:pBdr>
      <w:ind w:left="288"/>
      <w:spacing w:after="140" w:before="140"/>
    </w:pPr>
    <w:rPr>
      <w:i/>
      <w:color w:val="5A6B85"/>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styleId="Table" w:type="table">
    <w:name w:val="Table"/>
    <w:basedOn w:val="TableNormal"/>
    <w:uiPriority w:val="59"/>
    <w:pPr>
      <w:spacing w:after="40" w:before="40" w:line="240" w:lineRule="auto"/>
    </w:pPr>
    <w:rPr>
      <w:rFonts w:ascii="Calibri" w:hAnsi="Calibri"/>
      <w:sz w:val="19"/>
      <w:szCs w:val="19"/>
    </w:rPr>
    <w:tblPr>
      <w:tblBorders>
        <w:top w:color="D6DEEA" w:space="0" w:sz="4" w:val="single"/>
        <w:left w:color="auto" w:space="0" w:sz="0" w:val="none"/>
        <w:bottom w:color="D6DEEA" w:space="0" w:sz="4" w:val="single"/>
        <w:right w:color="auto" w:space="0" w:sz="0" w:val="none"/>
        <w:insideH w:color="D6DEEA" w:space="0" w:sz="4" w:val="single"/>
        <w:insideV w:color="auto" w:space="0" w:sz="0" w:val="none"/>
      </w:tblBorders>
      <w:tblCellMar>
        <w:top w:type="dxa" w:w="72"/>
        <w:left w:type="dxa" w:w="108"/>
        <w:bottom w:type="dxa" w:w="72"/>
        <w:right w:type="dxa" w:w="108"/>
      </w:tblCellMar>
    </w:tblPr>
    <w:tblStylePr w:type="firstRow">
      <w:pPr>
        <w:spacing w:after="60" w:before="60"/>
      </w:pPr>
      <w:rPr>
        <w:rFonts w:ascii="Calibri" w:hAnsi="Calibri"/>
        <w:b/>
        <w:color w:val="FFFFFF"/>
        <w:sz w:val="19"/>
      </w:rPr>
      <w:tcPr>
        <w:shd w:color="auto" w:fill="1B3358" w:val="clear"/>
        <w:tcBorders>
          <w:bottom w:color="1B3358" w:space="0" w:sz="4" w:val="single"/>
        </w:tcBorders>
      </w:tcPr>
    </w:tblStylePr>
    <w:tblStylePr w:type="band2Horz">
      <w:tcPr>
        <w:shd w:color="auto" w:fill="F5F8FC" w:val="clear"/>
      </w:tcPr>
    </w:tblStylePr>
    <w:tblStylePr w:type="firstCol">
      <w:rPr>
        <w:b/>
        <w:color w:val="1B3358"/>
      </w:r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2026-10-22T15:48:31Z</dcterms:created>
  <dcterms:modified xsi:type="dcterms:W3CDTF">2026-10-22T15:48:31Z</dcterms:modified>
</cp:coreProperties>
</file>

<file path=docProps/custom.xml><?xml version="1.0" encoding="utf-8"?>
<Properties xmlns="http://schemas.openxmlformats.org/officeDocument/2006/custom-properties" xmlns:vt="http://schemas.openxmlformats.org/officeDocument/2006/docPropsVTypes"/>
</file>