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reading-pack-intermediate-week-2"/>
    <w:p>
      <w:pPr>
        <w:pStyle w:val="Heading1"/>
      </w:pPr>
      <w:r>
        <w:t xml:space="preserve">Reading Pack — Intermediate Week 2</w:t>
      </w:r>
    </w:p>
    <w:p>
      <w:pPr>
        <w:pStyle w:val="FirstParagraph"/>
      </w:pPr>
      <w:r>
        <w:rPr>
          <w:iCs/>
          <w:i/>
        </w:rPr>
        <w:t xml:space="preserve">Intermediate · Sessions 5–8 · The Full Sweep · Thornfield Industrial Group</w:t>
      </w:r>
    </w:p>
    <w:bookmarkStart w:id="20" w:name="before-you-start"/>
    <w:p>
      <w:pPr>
        <w:pStyle w:val="Heading2"/>
      </w:pPr>
      <w:r>
        <w:t xml:space="preserve">Before you start</w:t>
      </w:r>
    </w:p>
    <w:p>
      <w:pPr>
        <w:pStyle w:val="FirstParagraph"/>
      </w:pPr>
      <w:r>
        <w:t xml:space="preserve">Week 2 finishes access (Fiori and emergency access) and opens change and operations. Workpaper 1 is assigned in session 6.</w:t>
      </w:r>
    </w:p>
    <w:p>
      <w:pPr>
        <w:pStyle w:val="BodyText"/>
      </w:pPr>
      <w:r>
        <w:t xml:space="preserve">Read each session’s section</w:t>
      </w:r>
      <w:r>
        <w:t xml:space="preserve"> </w:t>
      </w:r>
      <w:r>
        <w:rPr>
          <w:bCs/>
          <w:b/>
        </w:rPr>
        <w:t xml:space="preserve">before</w:t>
      </w:r>
      <w:r>
        <w:t xml:space="preserve"> </w:t>
      </w:r>
      <w:r>
        <w:t xml:space="preserve">that session — about 45–60 minutes per session. The course app has the exact screens; this pack has the reasoning the app has no field for: the control objective, the population, what a reviewer will ask, and what to conclude. In the app, open the menu on</w:t>
      </w:r>
      <w:r>
        <w:t xml:space="preserve"> </w:t>
      </w:r>
      <w:r>
        <w:rPr>
          <w:bCs/>
          <w:b/>
        </w:rPr>
        <w:t xml:space="preserve">By session</w:t>
      </w:r>
      <w:r>
        <w:t xml:space="preserve"> </w:t>
      </w:r>
      <w:r>
        <w:t xml:space="preserve">— the rows match the sessions in this pack, and</w:t>
      </w:r>
      <w:r>
        <w:t xml:space="preserve"> </w:t>
      </w:r>
      <w:r>
        <w:rPr>
          <w:bCs/>
          <w:b/>
        </w:rPr>
        <w:t xml:space="preserve">▶ Next</w:t>
      </w:r>
      <w:r>
        <w:t xml:space="preserve"> </w:t>
      </w:r>
      <w:r>
        <w:t xml:space="preserve">takes you through them in the same order.</w:t>
      </w:r>
    </w:p>
    <w:p>
      <w:pPr>
        <w:pStyle w:val="BodyText"/>
      </w:pPr>
      <w:r>
        <w:rPr>
          <w:bCs/>
          <w:b/>
        </w:rPr>
        <w:t xml:space="preserve">Studying on your own?</w:t>
      </w:r>
      <w:r>
        <w:t xml:space="preserve"> </w:t>
      </w:r>
      <w:r>
        <w:t xml:space="preserve">Treat each session below as one sitting of about two hours: read the section, do the Book in SAP with the app beside you, upload your exhibit, then answer the question to bring — out loud or in writing — before moving on.</w:t>
      </w:r>
    </w:p>
    <w:bookmarkEnd w:id="20"/>
    <w:bookmarkStart w:id="23" w:name="session-5-tue-book-13-the-tile"/>
    <w:p>
      <w:pPr>
        <w:pStyle w:val="Heading2"/>
      </w:pPr>
      <w:r>
        <w:t xml:space="preserve">Session 5 — Tue · Book 13 — The Tile</w:t>
      </w:r>
    </w:p>
    <w:bookmarkStart w:id="22" w:name="book-13-the-tile"/>
    <w:p>
      <w:pPr>
        <w:pStyle w:val="Heading3"/>
      </w:pPr>
      <w:r>
        <w:t xml:space="preserve">Book 13 — The Tile</w:t>
      </w:r>
    </w:p>
    <w:p>
      <w:pPr>
        <w:pStyle w:val="FirstParagraph"/>
      </w:pPr>
      <w:r>
        <w:rPr>
          <w:iCs/>
          <w:i/>
        </w:rPr>
        <w:t xml:space="preserve">Part I · Fiori Launchpad Security Testing</w:t>
      </w:r>
    </w:p>
    <w:p>
      <w:pPr>
        <w:pStyle w:val="BodyText"/>
      </w:pPr>
      <w:r>
        <w:rPr>
          <w:bCs/>
          <w:b/>
        </w:rPr>
        <w:t xml:space="preserve">Access · the Fiori layer</w:t>
      </w:r>
    </w:p>
    <w:p>
      <w:pPr>
        <w:pStyle w:val="BodyText"/>
      </w:pPr>
      <w:r>
        <w:t xml:space="preserve">A user’s access is</w:t>
      </w:r>
      <w:r>
        <w:t xml:space="preserve"> </w:t>
      </w:r>
      <w:r>
        <w:t xml:space="preserve">“</w:t>
      </w:r>
      <w:r>
        <w:t xml:space="preserve">removed.</w:t>
      </w:r>
      <w:r>
        <w:t xml:space="preserve">”</w:t>
      </w:r>
      <w:r>
        <w:t xml:space="preserve"> </w:t>
      </w:r>
      <w:r>
        <w:t xml:space="preserve">The tile disappears from their Fiori home screen. Everyone is satisfied.</w:t>
      </w:r>
    </w:p>
    <w:p>
      <w:pPr>
        <w:pStyle w:val="BodyText"/>
      </w:pPr>
      <w:r>
        <w:t xml:space="preserve">The underlying authorization is still there. So is the catalog assignment. The access still exists — it’s just no longer visible on that one screen.</w:t>
      </w:r>
    </w:p>
    <w:p>
      <w:pPr>
        <w:pStyle w:val="BodyText"/>
      </w:pPr>
      <w:r>
        <w:rPr>
          <w:bCs/>
          <w:b/>
        </w:rPr>
        <w:t xml:space="preserve">What’s different:</w:t>
      </w:r>
      <w:r>
        <w:t xml:space="preserve"> </w:t>
      </w:r>
      <w:r>
        <w:t xml:space="preserve">this is the</w:t>
      </w:r>
      <w:r>
        <w:t xml:space="preserve"> </w:t>
      </w:r>
      <w:r>
        <w:rPr>
          <w:bCs/>
          <w:b/>
        </w:rPr>
        <w:t xml:space="preserve">two-layer problem</w:t>
      </w:r>
      <w:r>
        <w:t xml:space="preserve">. Fiori has its own catalog and group structure sitting on top of backend authorizations, and the two can disagree. Test the backend role alone and you get a clean, wrong answer.</w:t>
      </w:r>
    </w:p>
    <w:p>
      <w:pPr>
        <w:pStyle w:val="BodyText"/>
      </w:pPr>
      <w:r>
        <w:rPr>
          <w:bCs/>
          <w:b/>
        </w:rPr>
        <w:t xml:space="preserve">Remember:</w:t>
      </w:r>
      <w:r>
        <w:t xml:space="preserve"> </w:t>
      </w:r>
      <w:r>
        <w:rPr>
          <w:bCs/>
          <w:b/>
        </w:rPr>
        <w:t xml:space="preserve">a tile is a shortcut. Removing a shortcut is not removing access.</w:t>
      </w:r>
    </w:p>
    <w:bookmarkStart w:id="21" w:name="the-question-to-bring"/>
    <w:p>
      <w:pPr>
        <w:pStyle w:val="Heading4"/>
      </w:pPr>
      <w:r>
        <w:t xml:space="preserve">The question to bring</w:t>
      </w:r>
    </w:p>
    <w:p>
      <w:pPr>
        <w:pStyle w:val="BlockText"/>
      </w:pPr>
      <w:r>
        <w:t xml:space="preserve">Was the flagged access ever used? Show me the backend authorization object behind the tile, not the tile.</w:t>
      </w:r>
    </w:p>
    <w:p>
      <w:pPr>
        <w:pStyle w:val="FirstParagraph"/>
      </w:pPr>
      <w:r>
        <w:t xml:space="preserve">Decide your answer before the session — in Defend It, someone will ask it.</w:t>
      </w:r>
    </w:p>
    <w:bookmarkEnd w:id="21"/>
    <w:bookmarkEnd w:id="22"/>
    <w:bookmarkEnd w:id="23"/>
    <w:bookmarkStart w:id="30" w:name="Xf0d7340f5c86c669f850adbda4085042b4ed80d"/>
    <w:p>
      <w:pPr>
        <w:pStyle w:val="Heading2"/>
      </w:pPr>
      <w:r>
        <w:t xml:space="preserve">Session 6 — Thu · Book 16 — The Firefighter Log</w:t>
      </w:r>
    </w:p>
    <w:p>
      <w:pPr>
        <w:pStyle w:val="FirstParagraph"/>
      </w:pPr>
      <w:r>
        <w:rPr>
          <w:bCs/>
          <w:b/>
        </w:rPr>
        <w:t xml:space="preserve">Workpaper 1 (Access / SoD) is assigned in this session</w:t>
      </w:r>
      <w:r>
        <w:t xml:space="preserve"> </w:t>
      </w:r>
      <w:r>
        <w:t xml:space="preserve">— due 23:59 CT on the day of session 8. The brief is TIB-FS-ASSESS-001 in materials folder 05.</w:t>
      </w:r>
    </w:p>
    <w:bookmarkStart w:id="29" w:name="book-16-the-firefighter-log"/>
    <w:p>
      <w:pPr>
        <w:pStyle w:val="Heading3"/>
      </w:pPr>
      <w:r>
        <w:t xml:space="preserve">Book 16 — The Firefighter Log</w:t>
      </w:r>
    </w:p>
    <w:p>
      <w:pPr>
        <w:pStyle w:val="FirstParagraph"/>
      </w:pPr>
      <w:r>
        <w:rPr>
          <w:iCs/>
          <w:i/>
        </w:rPr>
        <w:t xml:space="preserve">Part I · Emergency Access Management (EAM) Testing</w:t>
      </w:r>
    </w:p>
    <w:p>
      <w:pPr>
        <w:pStyle w:val="BodyText"/>
      </w:pPr>
      <w:r>
        <w:rPr>
          <w:bCs/>
          <w:b/>
        </w:rPr>
        <w:t xml:space="preserve">Access · emergency access</w:t>
      </w:r>
      <w:r>
        <w:t xml:space="preserve"> </w:t>
      </w:r>
      <w:r>
        <w:rPr>
          <w:iCs/>
          <w:i/>
        </w:rPr>
        <w:t xml:space="preserve">(this is an anchor — you’ll cover it at depth on the session)</w:t>
      </w:r>
    </w:p>
    <w:p>
      <w:pPr>
        <w:pStyle w:val="BodyText"/>
      </w:pPr>
      <w:r>
        <w:t xml:space="preserve">Firefighter access is legitimate. Sometimes production breaks at 2am and someone needs elevated access right now. The controlled answer is a temporary, logged, attributed session —</w:t>
      </w:r>
      <w:r>
        <w:t xml:space="preserve"> </w:t>
      </w:r>
      <w:r>
        <w:rPr>
          <w:bCs/>
          <w:b/>
        </w:rPr>
        <w:t xml:space="preserve">and a review afterwards.</w:t>
      </w:r>
    </w:p>
    <w:p>
      <w:pPr>
        <w:pStyle w:val="BodyText"/>
      </w:pPr>
      <w:r>
        <w:t xml:space="preserve">The review is the control.</w:t>
      </w:r>
    </w:p>
    <w:p>
      <w:pPr>
        <w:pStyle w:val="BodyText"/>
      </w:pPr>
      <w:r>
        <w:t xml:space="preserve">Thornfield’s firefighter access was used</w:t>
      </w:r>
      <w:r>
        <w:t xml:space="preserve"> </w:t>
      </w:r>
      <w:r>
        <w:rPr>
          <w:bCs/>
          <w:b/>
        </w:rPr>
        <w:t xml:space="preserve">thirty-one times</w:t>
      </w:r>
      <w:r>
        <w:t xml:space="preserve"> </w:t>
      </w:r>
      <w:r>
        <w:t xml:space="preserve">in the quarter. It was reviewed</w:t>
      </w:r>
      <w:r>
        <w:t xml:space="preserve"> </w:t>
      </w:r>
      <w:r>
        <w:rPr>
          <w:bCs/>
          <w:b/>
        </w:rPr>
        <w:t xml:space="preserve">twice</w:t>
      </w:r>
      <w:r>
        <w:t xml:space="preserve">.</w:t>
      </w:r>
    </w:p>
    <w:p>
      <w:pPr>
        <w:pStyle w:val="BodyText"/>
      </w:pPr>
      <w:r>
        <w:rPr>
          <w:bCs/>
          <w:b/>
        </w:rPr>
        <w:t xml:space="preserve">What’s different:</w:t>
      </w:r>
      <w:r>
        <w:t xml:space="preserve"> </w:t>
      </w:r>
      <w:r>
        <w:t xml:space="preserve">this is a</w:t>
      </w:r>
      <w:r>
        <w:t xml:space="preserve"> </w:t>
      </w:r>
      <w:r>
        <w:rPr>
          <w:bCs/>
          <w:b/>
        </w:rPr>
        <w:t xml:space="preserve">detective</w:t>
      </w:r>
      <w:r>
        <w:t xml:space="preserve"> </w:t>
      </w:r>
      <w:r>
        <w:t xml:space="preserve">control that simply wasn’t performed. And there’s a trap in it that catches nearly everybody, which is the reason it’s an anchor.</w:t>
      </w:r>
    </w:p>
    <w:p>
      <w:pPr>
        <w:pStyle w:val="BodyText"/>
      </w:pPr>
      <w:r>
        <w:rPr>
          <w:bCs/>
          <w:b/>
        </w:rPr>
        <w:t xml:space="preserve">Remember:</w:t>
      </w:r>
      <w:r>
        <w:t xml:space="preserve"> </w:t>
      </w:r>
      <w:r>
        <w:t xml:space="preserve">the population is every session that</w:t>
      </w:r>
      <w:r>
        <w:t xml:space="preserve"> </w:t>
      </w:r>
      <w:r>
        <w:rPr>
          <w:iCs/>
          <w:i/>
        </w:rPr>
        <w:t xml:space="preserve">occurred</w:t>
      </w:r>
      <w:r>
        <w:t xml:space="preserve">. Not every session that was</w:t>
      </w:r>
      <w:r>
        <w:t xml:space="preserve"> </w:t>
      </w:r>
      <w:r>
        <w:rPr>
          <w:iCs/>
          <w:i/>
        </w:rPr>
        <w:t xml:space="preserve">reviewed</w:t>
      </w:r>
      <w:r>
        <w:t xml:space="preserve">.</w:t>
      </w:r>
    </w:p>
    <w:bookmarkStart w:id="24" w:name="before-the-demo-lab"/>
    <w:p>
      <w:pPr>
        <w:pStyle w:val="Heading4"/>
      </w:pPr>
      <w:r>
        <w:t xml:space="preserve">Before the Demo Lab</w:t>
      </w:r>
    </w:p>
    <w:p>
      <w:pPr>
        <w:pStyle w:val="FirstParagraph"/>
      </w:pPr>
      <w:r>
        <w:rPr>
          <w:bCs/>
          <w:b/>
        </w:rPr>
        <w:t xml:space="preserve">The question:</w:t>
      </w:r>
      <w:r>
        <w:t xml:space="preserve"> </w:t>
      </w:r>
      <w:r>
        <w:t xml:space="preserve">was every emergency access session reviewed?</w:t>
      </w:r>
    </w:p>
    <w:bookmarkEnd w:id="24"/>
    <w:bookmarkStart w:id="25" w:name="the-screens"/>
    <w:p>
      <w:pPr>
        <w:pStyle w:val="Heading4"/>
      </w:pPr>
      <w:r>
        <w:t xml:space="preserve">The screens</w:t>
      </w:r>
    </w:p>
    <w:tbl>
      <w:tblPr>
        <w:tblStyle w:val="Table"/>
        <w:tblW w:type="pct" w:w="4933"/>
        <w:tblLook w:firstRow="1" w:lastRow="0" w:firstColumn="0" w:lastColumn="0" w:noHBand="0" w:noVBand="0" w:val="0020"/>
        <w:jc w:val="start"/>
      </w:tblPr>
      <w:tblGrid>
        <w:gridCol w:w="3348"/>
        <w:gridCol w:w="4464"/>
      </w:tblGrid>
      <w:tr>
        <w:trPr>
          <w:tblHeader w:val="true"/>
        </w:trPr>
        <w:tc>
          <w:tcPr/>
          <w:p>
            <w:pPr>
              <w:pStyle w:val="Compact"/>
              <w:jc w:val="left"/>
            </w:pPr>
            <w:r>
              <w:rPr>
                <w:bCs/>
                <w:b/>
                <w:color w:val="FFFFFF"/>
              </w:rPr>
              <w:t xml:space="preserve">Screen</w:t>
            </w:r>
          </w:p>
        </w:tc>
        <w:tc>
          <w:tcPr/>
          <w:p>
            <w:pPr>
              <w:pStyle w:val="Compact"/>
              <w:jc w:val="left"/>
            </w:pPr>
            <w:r>
              <w:rPr>
                <w:bCs/>
                <w:b/>
                <w:color w:val="FFFFFF"/>
              </w:rPr>
              <w:t xml:space="preserve">What it’s for</w:t>
            </w:r>
          </w:p>
        </w:tc>
      </w:tr>
      <w:tr>
        <w:tc>
          <w:tcPr/>
          <w:p>
            <w:pPr>
              <w:pStyle w:val="Compact"/>
              <w:jc w:val="left"/>
            </w:pPr>
            <w:r>
              <w:rPr>
                <w:bCs/>
                <w:b/>
              </w:rPr>
              <w:t xml:space="preserve">Firefighter Log Report</w:t>
            </w:r>
            <w:r>
              <w:t xml:space="preserve"> </w:t>
            </w:r>
            <w:r>
              <w:t xml:space="preserve">(GRC Emergency Access Management)</w:t>
            </w:r>
          </w:p>
        </w:tc>
        <w:tc>
          <w:tcPr/>
          <w:p>
            <w:pPr>
              <w:pStyle w:val="Compact"/>
              <w:jc w:val="left"/>
            </w:pPr>
            <w:r>
              <w:t xml:space="preserve">The session population — who used which firefighter ID, when, and why they said</w:t>
            </w:r>
          </w:p>
        </w:tc>
      </w:tr>
      <w:tr>
        <w:tc>
          <w:tcPr/>
          <w:p>
            <w:pPr>
              <w:pStyle w:val="Compact"/>
              <w:jc w:val="left"/>
            </w:pPr>
            <w:r>
              <w:rPr>
                <w:bCs/>
                <w:b/>
              </w:rPr>
              <w:t xml:space="preserve">Firefighter review / log review report</w:t>
            </w:r>
          </w:p>
        </w:tc>
        <w:tc>
          <w:tcPr/>
          <w:p>
            <w:pPr>
              <w:pStyle w:val="Compact"/>
              <w:jc w:val="left"/>
            </w:pPr>
            <w:r>
              <w:t xml:space="preserve">The sessions that were</w:t>
            </w:r>
            <w:r>
              <w:t xml:space="preserve"> </w:t>
            </w:r>
            <w:r>
              <w:rPr>
                <w:bCs/>
                <w:b/>
              </w:rPr>
              <w:t xml:space="preserve">reviewed</w:t>
            </w:r>
            <w:r>
              <w:t xml:space="preserve">. Not your population.</w:t>
            </w:r>
          </w:p>
        </w:tc>
      </w:tr>
      <w:tr>
        <w:tc>
          <w:tcPr/>
          <w:p>
            <w:pPr>
              <w:pStyle w:val="Compact"/>
              <w:jc w:val="left"/>
            </w:pPr>
            <w:r>
              <w:rPr>
                <w:rStyle w:val="VerbatimChar"/>
              </w:rPr>
              <w:t xml:space="preserve">SU01</w:t>
            </w:r>
          </w:p>
        </w:tc>
        <w:tc>
          <w:tcPr/>
          <w:p>
            <w:pPr>
              <w:pStyle w:val="Compact"/>
              <w:jc w:val="left"/>
            </w:pPr>
            <w:r>
              <w:t xml:space="preserve">Display the firefighter ID — and check its</w:t>
            </w:r>
            <w:r>
              <w:t xml:space="preserve"> </w:t>
            </w:r>
            <w:r>
              <w:rPr>
                <w:bCs/>
                <w:b/>
              </w:rPr>
              <w:t xml:space="preserve">user type</w:t>
            </w:r>
          </w:p>
        </w:tc>
      </w:tr>
      <w:tr>
        <w:tc>
          <w:tcPr/>
          <w:p>
            <w:pPr>
              <w:pStyle w:val="Compact"/>
              <w:jc w:val="left"/>
            </w:pPr>
            <w:r>
              <w:rPr>
                <w:rStyle w:val="VerbatimChar"/>
              </w:rPr>
              <w:t xml:space="preserve">SM20</w:t>
            </w:r>
          </w:p>
        </w:tc>
        <w:tc>
          <w:tcPr/>
          <w:p>
            <w:pPr>
              <w:pStyle w:val="Compact"/>
              <w:jc w:val="left"/>
            </w:pPr>
            <w:r>
              <w:t xml:space="preserve">Security audit log — independent corroboration of what a session actually did</w:t>
            </w:r>
          </w:p>
        </w:tc>
      </w:tr>
    </w:tbl>
    <w:bookmarkEnd w:id="25"/>
    <w:bookmarkStart w:id="26" w:name="X9c1dd8f984a93e91d9555b25460cb8a6a9a39b3"/>
    <w:p>
      <w:pPr>
        <w:pStyle w:val="Heading4"/>
      </w:pPr>
      <w:r>
        <w:t xml:space="preserve">Three things to notice on the log report, in order</w:t>
      </w:r>
    </w:p>
    <w:p>
      <w:pPr>
        <w:pStyle w:val="FirstParagraph"/>
      </w:pPr>
      <w:r>
        <w:rPr>
          <w:bCs/>
          <w:b/>
        </w:rPr>
        <w:t xml:space="preserve">One — the reason codes.</w:t>
      </w:r>
    </w:p>
    <w:p>
      <w:pPr>
        <w:pStyle w:val="BodyText"/>
      </w:pPr>
      <w:r>
        <w:t xml:space="preserve">Read a few of them.</w:t>
      </w:r>
      <w:r>
        <w:t xml:space="preserve"> </w:t>
      </w:r>
      <w:r>
        <w:t xml:space="preserve">“</w:t>
      </w:r>
      <w:r>
        <w:t xml:space="preserve">Fix.</w:t>
      </w:r>
      <w:r>
        <w:t xml:space="preserve">”</w:t>
      </w:r>
      <w:r>
        <w:t xml:space="preserve"> </w:t>
      </w:r>
      <w:r>
        <w:t xml:space="preserve">“</w:t>
      </w:r>
      <w:r>
        <w:t xml:space="preserve">Urgent.</w:t>
      </w:r>
      <w:r>
        <w:t xml:space="preserve">”</w:t>
      </w:r>
      <w:r>
        <w:t xml:space="preserve"> </w:t>
      </w:r>
      <w:r>
        <w:t xml:space="preserve">“</w:t>
      </w:r>
      <w:r>
        <w:t xml:space="preserve">As discussed.</w:t>
      </w:r>
      <w:r>
        <w:t xml:space="preserve">”</w:t>
      </w:r>
    </w:p>
    <w:p>
      <w:pPr>
        <w:pStyle w:val="BodyText"/>
      </w:pPr>
      <w:r>
        <w:t xml:space="preserve">That’s free text, typed at speed by someone under pressure at 2am. It is</w:t>
      </w:r>
      <w:r>
        <w:t xml:space="preserve"> </w:t>
      </w:r>
      <w:r>
        <w:rPr>
          <w:iCs/>
          <w:i/>
        </w:rPr>
        <w:t xml:space="preserve">evidence that a reason was given</w:t>
      </w:r>
      <w:r>
        <w:t xml:space="preserve">. It is</w:t>
      </w:r>
      <w:r>
        <w:t xml:space="preserve"> </w:t>
      </w:r>
      <w:r>
        <w:rPr>
          <w:bCs/>
          <w:b/>
        </w:rPr>
        <w:t xml:space="preserve">not</w:t>
      </w:r>
      <w:r>
        <w:t xml:space="preserve"> </w:t>
      </w:r>
      <w:r>
        <w:t xml:space="preserve">evidence that the reason was valid.</w:t>
      </w:r>
    </w:p>
    <w:p>
      <w:pPr>
        <w:pStyle w:val="BodyText"/>
      </w:pPr>
      <w:r>
        <w:t xml:space="preserve">So don’t call it a business justification in your workpaper. What it actually is, is a text field.</w:t>
      </w:r>
    </w:p>
    <w:p>
      <w:pPr>
        <w:pStyle w:val="BodyText"/>
      </w:pPr>
      <w:r>
        <w:rPr>
          <w:bCs/>
          <w:b/>
        </w:rPr>
        <w:t xml:space="preserve">Two — the population trap.</w:t>
      </w:r>
    </w:p>
    <w:p>
      <w:pPr>
        <w:pStyle w:val="BodyText"/>
      </w:pPr>
      <w:r>
        <w:t xml:space="preserve">There’s a review report on this system as well as a log report.</w:t>
      </w:r>
    </w:p>
    <w:p>
      <w:pPr>
        <w:pStyle w:val="BodyText"/>
      </w:pPr>
      <w:r>
        <w:t xml:space="preserve">The review report lists sessions</w:t>
      </w:r>
      <w:r>
        <w:t xml:space="preserve"> </w:t>
      </w:r>
      <w:r>
        <w:rPr>
          <w:bCs/>
          <w:b/>
        </w:rPr>
        <w:t xml:space="preserve">that were reviewed</w:t>
      </w:r>
      <w:r>
        <w:t xml:space="preserve">. Build your population from it and your review completion rate is a hundred percent, every time, by construction.</w:t>
      </w:r>
    </w:p>
    <w:p>
      <w:pPr>
        <w:pStyle w:val="BodyText"/>
      </w:pPr>
      <w:r>
        <w:rPr>
          <w:bCs/>
          <w:b/>
        </w:rPr>
        <w:t xml:space="preserve">Your population is the session log.</w:t>
      </w:r>
      <w:r>
        <w:t xml:space="preserve"> </w:t>
      </w:r>
      <w:r>
        <w:t xml:space="preserve">Reviews are what you reconcile against it — the smaller number, on the other side of the gap.</w:t>
      </w:r>
    </w:p>
    <w:p>
      <w:pPr>
        <w:pStyle w:val="BodyText"/>
      </w:pPr>
      <w:r>
        <w:rPr>
          <w:bCs/>
          <w:b/>
        </w:rPr>
        <w:t xml:space="preserve">Three — user type.</w:t>
      </w:r>
    </w:p>
    <w:p>
      <w:pPr>
        <w:pStyle w:val="BodyText"/>
      </w:pPr>
      <w:r>
        <w:t xml:space="preserve">If someone tells you a firefighter ID is an automated interface rather than a person, you can check that in about fifteen seconds.</w:t>
      </w:r>
    </w:p>
    <w:p>
      <w:pPr>
        <w:pStyle w:val="BodyText"/>
      </w:pPr>
      <w:r>
        <w:rPr>
          <w:rStyle w:val="VerbatimChar"/>
        </w:rPr>
        <w:t xml:space="preserve">SU01</w:t>
      </w:r>
      <w:r>
        <w:t xml:space="preserve"> </w:t>
      </w:r>
      <w:r>
        <w:t xml:space="preserve">→ the user → Logon Data tab →</w:t>
      </w:r>
      <w:r>
        <w:t xml:space="preserve"> </w:t>
      </w:r>
      <w:r>
        <w:rPr>
          <w:bCs/>
          <w:b/>
        </w:rPr>
        <w:t xml:space="preserve">user type</w:t>
      </w:r>
      <w:r>
        <w:t xml:space="preserve">.</w:t>
      </w:r>
    </w:p>
    <w:p>
      <w:pPr>
        <w:pStyle w:val="BodyText"/>
      </w:pPr>
      <w:r>
        <w:rPr>
          <w:bCs/>
          <w:b/>
        </w:rPr>
        <w:t xml:space="preserve">Dialog</w:t>
      </w:r>
      <w:r>
        <w:t xml:space="preserve"> </w:t>
      </w:r>
      <w:r>
        <w:t xml:space="preserve">means a human logs on interactively.</w:t>
      </w:r>
      <w:r>
        <w:t xml:space="preserve"> </w:t>
      </w:r>
      <w:r>
        <w:rPr>
          <w:bCs/>
          <w:b/>
        </w:rPr>
        <w:t xml:space="preserve">System</w:t>
      </w:r>
      <w:r>
        <w:t xml:space="preserve">,</w:t>
      </w:r>
      <w:r>
        <w:t xml:space="preserve"> </w:t>
      </w:r>
      <w:r>
        <w:rPr>
          <w:bCs/>
          <w:b/>
        </w:rPr>
        <w:t xml:space="preserve">Service</w:t>
      </w:r>
      <w:r>
        <w:t xml:space="preserve"> </w:t>
      </w:r>
      <w:r>
        <w:t xml:space="preserve">or</w:t>
      </w:r>
      <w:r>
        <w:t xml:space="preserve"> </w:t>
      </w:r>
      <w:r>
        <w:rPr>
          <w:bCs/>
          <w:b/>
        </w:rPr>
        <w:t xml:space="preserve">Communication</w:t>
      </w:r>
      <w:r>
        <w:t xml:space="preserve"> </w:t>
      </w:r>
      <w:r>
        <w:t xml:space="preserve">mean a technical account.</w:t>
      </w:r>
    </w:p>
    <w:p>
      <w:pPr>
        <w:pStyle w:val="BodyText"/>
      </w:pPr>
      <w:r>
        <w:t xml:space="preserve">That single field either corroborates or contradicts what you were told. It turns</w:t>
      </w:r>
      <w:r>
        <w:t xml:space="preserve"> </w:t>
      </w:r>
      <w:r>
        <w:t xml:space="preserve">“</w:t>
      </w:r>
      <w:r>
        <w:t xml:space="preserve">management explained</w:t>
      </w:r>
      <w:r>
        <w:t xml:space="preserve">”</w:t>
      </w:r>
      <w:r>
        <w:t xml:space="preserve"> </w:t>
      </w:r>
      <w:r>
        <w:t xml:space="preserve">into</w:t>
      </w:r>
      <w:r>
        <w:t xml:space="preserve"> </w:t>
      </w:r>
      <w:r>
        <w:t xml:space="preserve">“</w:t>
      </w:r>
      <w:r>
        <w:t xml:space="preserve">management explained and I confirmed.</w:t>
      </w:r>
      <w:r>
        <w:t xml:space="preserve">”</w:t>
      </w:r>
    </w:p>
    <w:p>
      <w:pPr>
        <w:pStyle w:val="BodyText"/>
      </w:pPr>
      <w:r>
        <w:rPr>
          <w:bCs/>
          <w:b/>
        </w:rPr>
        <w:t xml:space="preserve">That’s the move of this entire course.</w:t>
      </w:r>
      <w:r>
        <w:t xml:space="preserve"> </w:t>
      </w:r>
      <w:r>
        <w:t xml:space="preserve">Someone tells you something plausible, and you go and find the field that checks it.</w:t>
      </w:r>
    </w:p>
    <w:bookmarkEnd w:id="26"/>
    <w:bookmarkStart w:id="27" w:name="what-youll-produce-on-the-session"/>
    <w:p>
      <w:pPr>
        <w:pStyle w:val="Heading4"/>
      </w:pPr>
      <w:r>
        <w:t xml:space="preserve">What you’ll produce on the session</w:t>
      </w:r>
    </w:p>
    <w:p>
      <w:pPr>
        <w:numPr>
          <w:ilvl w:val="0"/>
          <w:numId w:val="1001"/>
        </w:numPr>
        <w:pStyle w:val="Compact"/>
      </w:pPr>
      <w:r>
        <w:t xml:space="preserve">The session count for the period</w:t>
      </w:r>
    </w:p>
    <w:p>
      <w:pPr>
        <w:numPr>
          <w:ilvl w:val="0"/>
          <w:numId w:val="1001"/>
        </w:numPr>
        <w:pStyle w:val="Compact"/>
      </w:pPr>
      <w:r>
        <w:t xml:space="preserve">A one-sentence population definition, in your own words</w:t>
      </w:r>
    </w:p>
    <w:p>
      <w:pPr>
        <w:numPr>
          <w:ilvl w:val="0"/>
          <w:numId w:val="1001"/>
        </w:numPr>
        <w:pStyle w:val="Compact"/>
      </w:pPr>
      <w:r>
        <w:t xml:space="preserve">Whether one named firefighter ID is Dialog or technical</w:t>
      </w:r>
    </w:p>
    <w:bookmarkEnd w:id="27"/>
    <w:bookmarkStart w:id="28" w:name="the-question-to-bring-1"/>
    <w:p>
      <w:pPr>
        <w:pStyle w:val="Heading4"/>
      </w:pPr>
      <w:r>
        <w:t xml:space="preserve">The question to bring</w:t>
      </w:r>
    </w:p>
    <w:p>
      <w:pPr>
        <w:pStyle w:val="BlockText"/>
      </w:pPr>
      <w:r>
        <w:t xml:space="preserve">Does the Firefighter log match what SM20 says was actually done? Who reviewed the log, and when?</w:t>
      </w:r>
    </w:p>
    <w:p>
      <w:pPr>
        <w:pStyle w:val="FirstParagraph"/>
      </w:pPr>
      <w:r>
        <w:t xml:space="preserve">Decide your answer before the session — in Defend It, someone will ask it.</w:t>
      </w:r>
    </w:p>
    <w:bookmarkEnd w:id="28"/>
    <w:bookmarkEnd w:id="29"/>
    <w:bookmarkEnd w:id="30"/>
    <w:bookmarkStart w:id="49" w:name="Xf527369e35b287e7a2f43efd8e727b3063e0105"/>
    <w:p>
      <w:pPr>
        <w:pStyle w:val="Heading2"/>
      </w:pPr>
      <w:r>
        <w:t xml:space="preserve">Session 7 — Sat · Book 2 — The Emergency Change</w:t>
      </w:r>
    </w:p>
    <w:bookmarkStart w:id="48" w:name="book-2-the-emergency-change"/>
    <w:p>
      <w:pPr>
        <w:pStyle w:val="Heading3"/>
      </w:pPr>
      <w:r>
        <w:t xml:space="preserve">Book 2 — The Emergency Change</w:t>
      </w:r>
    </w:p>
    <w:p>
      <w:pPr>
        <w:pStyle w:val="FirstParagraph"/>
      </w:pPr>
      <w:r>
        <w:rPr>
          <w:iCs/>
          <w:i/>
        </w:rPr>
        <w:t xml:space="preserve">Part II · Change Management Testing</w:t>
      </w:r>
    </w:p>
    <w:p>
      <w:pPr>
        <w:pStyle w:val="BodyText"/>
      </w:pPr>
      <w:r>
        <w:rPr>
          <w:bCs/>
          <w:b/>
        </w:rPr>
        <w:t xml:space="preserve">Scope area:</w:t>
      </w:r>
      <w:r>
        <w:t xml:space="preserve"> </w:t>
      </w:r>
      <w:r>
        <w:t xml:space="preserve">Change management</w:t>
      </w:r>
      <w:r>
        <w:t xml:space="preserve"> </w:t>
      </w:r>
      <w:r>
        <w:rPr>
          <w:bCs/>
          <w:b/>
        </w:rPr>
        <w:t xml:space="preserve">Read this one in full.</w:t>
      </w:r>
    </w:p>
    <w:bookmarkStart w:id="31" w:name="saturday"/>
    <w:p>
      <w:pPr>
        <w:pStyle w:val="Heading4"/>
      </w:pPr>
      <w:r>
        <w:t xml:space="preserve">Saturday</w:t>
      </w:r>
    </w:p>
    <w:p>
      <w:pPr>
        <w:pStyle w:val="FirstParagraph"/>
      </w:pPr>
      <w:r>
        <w:t xml:space="preserve">The payment posting run failed at 4:40 on a Friday afternoon. Not dramatically — it just stopped, halfway, leaving a batch half-processed and finance with no way to close the week.</w:t>
      </w:r>
    </w:p>
    <w:p>
      <w:pPr>
        <w:pStyle w:val="BodyText"/>
      </w:pPr>
      <w:r>
        <w:t xml:space="preserve">Ilse Tan, the SAP Basis Lead, got the call at home on the session morning.</w:t>
      </w:r>
    </w:p>
    <w:p>
      <w:pPr>
        <w:pStyle w:val="BodyText"/>
      </w:pPr>
      <w:r>
        <w:t xml:space="preserve">The normal change path is not fast. Build in DEV. Test in QAS. Raise a ticket. Wait for the change advisory board, which meets Tuesdays. Get approval. Import to production.</w:t>
      </w:r>
    </w:p>
    <w:p>
      <w:pPr>
        <w:pStyle w:val="BodyText"/>
      </w:pPr>
      <w:r>
        <w:rPr>
          <w:bCs/>
          <w:b/>
        </w:rPr>
        <w:t xml:space="preserve">Days.</w:t>
      </w:r>
      <w:r>
        <w:t xml:space="preserve"> </w:t>
      </w:r>
      <w:r>
        <w:t xml:space="preserve">And the business was down now.</w:t>
      </w:r>
    </w:p>
    <w:p>
      <w:pPr>
        <w:pStyle w:val="BodyText"/>
      </w:pPr>
      <w:r>
        <w:t xml:space="preserve">So Ilse did what any competent Basis lead does. She diagnosed it, fixed it, and moved the fix into production. Then she found the next thing it had broken, and moved that. By Sunday evening she had imported</w:t>
      </w:r>
      <w:r>
        <w:t xml:space="preserve"> </w:t>
      </w:r>
      <w:r>
        <w:rPr>
          <w:bCs/>
          <w:b/>
        </w:rPr>
        <w:t xml:space="preserve">six transports</w:t>
      </w:r>
      <w:r>
        <w:t xml:space="preserve"> </w:t>
      </w:r>
      <w:r>
        <w:t xml:space="preserve">into Thornfield’s production financial system.</w:t>
      </w:r>
    </w:p>
    <w:p>
      <w:pPr>
        <w:pStyle w:val="BodyText"/>
      </w:pPr>
      <w:r>
        <w:t xml:space="preserve">Monday morning, the payment run worked. Finance closed the week. Everyone was relieved.</w:t>
      </w:r>
    </w:p>
    <w:p>
      <w:pPr>
        <w:pStyle w:val="BodyText"/>
      </w:pPr>
      <w:r>
        <w:t xml:space="preserve">And Thornfield had six changes in its production financial system that never passed through the process that exists specifically to make production changes trustworthy.</w:t>
      </w:r>
    </w:p>
    <w:bookmarkEnd w:id="31"/>
    <w:bookmarkStart w:id="32" w:name="how-it-surfaced"/>
    <w:p>
      <w:pPr>
        <w:pStyle w:val="Heading4"/>
      </w:pPr>
      <w:r>
        <w:t xml:space="preserve">How it surfaced</w:t>
      </w:r>
    </w:p>
    <w:p>
      <w:pPr>
        <w:pStyle w:val="FirstParagraph"/>
      </w:pPr>
      <w:r>
        <w:t xml:space="preserve">Marcus Webb was running change management testing.</w:t>
      </w:r>
    </w:p>
    <w:p>
      <w:pPr>
        <w:pStyle w:val="BodyText"/>
      </w:pPr>
      <w:r>
        <w:t xml:space="preserve">He did the sensible thing first, and it was the wrong thing. He asked the service desk for all change tickets raised in the quarter, and reconciled them to production.</w:t>
      </w:r>
    </w:p>
    <w:p>
      <w:pPr>
        <w:pStyle w:val="BodyText"/>
      </w:pPr>
      <w:r>
        <w:t xml:space="preserve">Everything matched. Every ticket had a transport. Every transport had an approval.</w:t>
      </w:r>
    </w:p>
    <w:p>
      <w:pPr>
        <w:pStyle w:val="BodyText"/>
      </w:pPr>
      <w:r>
        <w:rPr>
          <w:bCs/>
          <w:b/>
        </w:rPr>
        <w:t xml:space="preserve">It matched because he had it backwards.</w:t>
      </w:r>
    </w:p>
    <w:p>
      <w:pPr>
        <w:pStyle w:val="BodyText"/>
      </w:pPr>
      <w:r>
        <w:t xml:space="preserve">Nadia asked him one question:</w:t>
      </w:r>
      <w:r>
        <w:t xml:space="preserve"> </w:t>
      </w:r>
      <w:r>
        <w:rPr>
          <w:iCs/>
          <w:i/>
        </w:rPr>
        <w:t xml:space="preserve">“</w:t>
      </w:r>
      <w:r>
        <w:rPr>
          <w:iCs/>
          <w:i/>
        </w:rPr>
        <w:t xml:space="preserve">If a change went in without a ticket, would it be in the list you just pulled?</w:t>
      </w:r>
      <w:r>
        <w:rPr>
          <w:iCs/>
          <w:i/>
        </w:rPr>
        <w:t xml:space="preserve">”</w:t>
      </w:r>
    </w:p>
    <w:p>
      <w:pPr>
        <w:pStyle w:val="BodyText"/>
      </w:pPr>
      <w:r>
        <w:t xml:space="preserve">It wouldn’t. A ticket list contains the changes that followed the process. The changes he was hunting were the ones with no ticket at all.</w:t>
      </w:r>
    </w:p>
    <w:p>
      <w:pPr>
        <w:pStyle w:val="BodyText"/>
      </w:pPr>
      <w:r>
        <w:t xml:space="preserve">So Marcus pulled the population again — this time from</w:t>
      </w:r>
      <w:r>
        <w:t xml:space="preserve"> </w:t>
      </w:r>
      <w:r>
        <w:rPr>
          <w:bCs/>
          <w:b/>
        </w:rPr>
        <w:t xml:space="preserve">production’s own import history</w:t>
      </w:r>
      <w:r>
        <w:t xml:space="preserve">. Four thousand one hundred and sixteen entries for the quarter. Most of them technical, many with descriptions that meant nothing to him, some from systems he didn’t know Thornfield had.</w:t>
      </w:r>
    </w:p>
    <w:p>
      <w:pPr>
        <w:pStyle w:val="BodyText"/>
      </w:pPr>
      <w:r>
        <w:t xml:space="preserve">He reconciled every one to a ticket.</w:t>
      </w:r>
    </w:p>
    <w:p>
      <w:pPr>
        <w:pStyle w:val="BodyText"/>
      </w:pPr>
      <w:r>
        <w:t xml:space="preserve">Six had none.</w:t>
      </w:r>
    </w:p>
    <w:bookmarkEnd w:id="32"/>
    <w:bookmarkStart w:id="33" w:name="the-retrospective-tickets"/>
    <w:p>
      <w:pPr>
        <w:pStyle w:val="Heading4"/>
      </w:pPr>
      <w:r>
        <w:t xml:space="preserve">The retrospective tickets</w:t>
      </w:r>
    </w:p>
    <w:p>
      <w:pPr>
        <w:pStyle w:val="FirstParagraph"/>
      </w:pPr>
      <w:r>
        <w:t xml:space="preserve">Marcus took it to Ilse. She was straightforward about it — she wasn’t hiding anything and had never intended to.</w:t>
      </w:r>
    </w:p>
    <w:p>
      <w:pPr>
        <w:pStyle w:val="BlockText"/>
      </w:pPr>
      <w:r>
        <w:rPr>
          <w:iCs/>
          <w:i/>
        </w:rPr>
        <w:t xml:space="preserve">“</w:t>
      </w:r>
      <w:r>
        <w:rPr>
          <w:iCs/>
          <w:i/>
        </w:rPr>
        <w:t xml:space="preserve">I raised tickets for all six on the Monday.</w:t>
      </w:r>
      <w:r>
        <w:rPr>
          <w:iCs/>
          <w:i/>
        </w:rPr>
        <w:t xml:space="preserve">”</w:t>
      </w:r>
    </w:p>
    <w:p>
      <w:pPr>
        <w:pStyle w:val="FirstParagraph"/>
      </w:pPr>
      <w:r>
        <w:t xml:space="preserve">And she had. Six tickets, dated the Monday, describing exactly what she’d done on the Saturday and why.</w:t>
      </w:r>
    </w:p>
    <w:p>
      <w:pPr>
        <w:pStyle w:val="BodyText"/>
      </w:pPr>
      <w:r>
        <w:t xml:space="preserve">Marcus’s first reaction was relief. Tickets existed. Problem solved.</w:t>
      </w:r>
    </w:p>
    <w:p>
      <w:pPr>
        <w:pStyle w:val="BodyText"/>
      </w:pPr>
      <w:r>
        <w:rPr>
          <w:bCs/>
          <w:b/>
        </w:rPr>
        <w:t xml:space="preserve">It isn’t.</w:t>
      </w:r>
      <w:r>
        <w:t xml:space="preserve"> </w:t>
      </w:r>
      <w:r>
        <w:t xml:space="preserve">And working out why is most of what this Book teaches.</w:t>
      </w:r>
    </w:p>
    <w:p>
      <w:pPr>
        <w:pStyle w:val="BodyText"/>
      </w:pPr>
      <w:r>
        <w:t xml:space="preserve">A retrospective ticket is documentation created after the fact, by the person who made the change, approved by nobody independent. It’s a useful record. It is not an approval.</w:t>
      </w:r>
    </w:p>
    <w:p>
      <w:pPr>
        <w:pStyle w:val="BodyText"/>
      </w:pPr>
      <w:r>
        <w:t xml:space="preserve">Whether it’s acceptable depends entirely on one thing:</w:t>
      </w:r>
      <w:r>
        <w:t xml:space="preserve"> </w:t>
      </w:r>
      <w:r>
        <w:rPr>
          <w:bCs/>
          <w:b/>
        </w:rPr>
        <w:t xml:space="preserve">does Thornfield have a defined emergency change procedure?</w:t>
      </w:r>
      <w:r>
        <w:t xml:space="preserve"> </w:t>
      </w:r>
      <w:r>
        <w:t xml:space="preserve">One that says what qualifies as an emergency, who can authorise a bypass, how fast retrospective approval must happen, who reviews it, and what evidence is required.</w:t>
      </w:r>
    </w:p>
    <w:p>
      <w:pPr>
        <w:pStyle w:val="BodyText"/>
      </w:pPr>
      <w:r>
        <w:t xml:space="preserve">Thornfield didn’t. And that absence is the actual finding.</w:t>
      </w:r>
    </w:p>
    <w:bookmarkEnd w:id="33"/>
    <w:bookmarkStart w:id="34" w:name="what-was-in-them"/>
    <w:p>
      <w:pPr>
        <w:pStyle w:val="Heading4"/>
      </w:pPr>
      <w:r>
        <w:t xml:space="preserve">What was in them</w:t>
      </w:r>
    </w:p>
    <w:p>
      <w:pPr>
        <w:pStyle w:val="FirstParagraph"/>
      </w:pPr>
      <w:r>
        <w:t xml:space="preserve">Nadia asked Marcus one more question before he wrote anything.</w:t>
      </w:r>
    </w:p>
    <w:p>
      <w:pPr>
        <w:pStyle w:val="BlockText"/>
      </w:pPr>
      <w:r>
        <w:rPr>
          <w:iCs/>
          <w:i/>
        </w:rPr>
        <w:t xml:space="preserve">“</w:t>
      </w:r>
      <w:r>
        <w:rPr>
          <w:iCs/>
          <w:i/>
        </w:rPr>
        <w:t xml:space="preserve">What was in the six transports?</w:t>
      </w:r>
      <w:r>
        <w:rPr>
          <w:iCs/>
          <w:i/>
        </w:rPr>
        <w:t xml:space="preserve">”</w:t>
      </w:r>
    </w:p>
    <w:p>
      <w:pPr>
        <w:pStyle w:val="FirstParagraph"/>
      </w:pPr>
      <w:r>
        <w:t xml:space="preserve">He hadn’t looked.</w:t>
      </w:r>
    </w:p>
    <w:p>
      <w:pPr>
        <w:pStyle w:val="BodyText"/>
      </w:pPr>
      <w:r>
        <w:t xml:space="preserve">He opened each one. Five were exactly what Ilse said — programs and configuration relating to the payment posting run. Legitimate operational fixes.</w:t>
      </w:r>
    </w:p>
    <w:p>
      <w:pPr>
        <w:pStyle w:val="BodyText"/>
      </w:pPr>
      <w:r>
        <w:t xml:space="preserve">The sixth also contained a change to a tolerance parameter in a completely different area. Ilse’s explanation was plausible: it was already sitting in the same transport from earlier work and got carried along.</w:t>
      </w:r>
    </w:p>
    <w:p>
      <w:pPr>
        <w:pStyle w:val="BodyText"/>
      </w:pPr>
      <w:r>
        <w:t xml:space="preserve">Plausible, probably true —</w:t>
      </w:r>
      <w:r>
        <w:t xml:space="preserve"> </w:t>
      </w:r>
      <w:r>
        <w:rPr>
          <w:bCs/>
          <w:b/>
        </w:rPr>
        <w:t xml:space="preserve">and it means the six transports moved something into production that nobody outside Ilse had ever reviewed.</w:t>
      </w:r>
    </w:p>
    <w:p>
      <w:pPr>
        <w:pStyle w:val="BlockText"/>
      </w:pPr>
      <w:r>
        <w:rPr>
          <w:iCs/>
          <w:i/>
        </w:rPr>
        <w:t xml:space="preserve">“</w:t>
      </w:r>
      <w:r>
        <w:rPr>
          <w:iCs/>
          <w:i/>
        </w:rPr>
        <w:t xml:space="preserve">Emergency change</w:t>
      </w:r>
      <w:r>
        <w:rPr>
          <w:iCs/>
          <w:i/>
        </w:rPr>
        <w:t xml:space="preserve">”</w:t>
      </w:r>
      <w:r>
        <w:rPr>
          <w:iCs/>
          <w:i/>
        </w:rPr>
        <w:t xml:space="preserve"> </w:t>
      </w:r>
      <w:r>
        <w:rPr>
          <w:iCs/>
          <w:i/>
        </w:rPr>
        <w:t xml:space="preserve">explains why the process was bypassed. It doesn’t describe what was moved.</w:t>
      </w:r>
    </w:p>
    <w:bookmarkEnd w:id="34"/>
    <w:bookmarkStart w:id="35" w:name="how-it-was-written"/>
    <w:p>
      <w:pPr>
        <w:pStyle w:val="Heading4"/>
      </w:pPr>
      <w:r>
        <w:t xml:space="preserve">How it was written</w:t>
      </w:r>
    </w:p>
    <w:p>
      <w:pPr>
        <w:pStyle w:val="FirstParagraph"/>
      </w:pPr>
      <w:r>
        <w:t xml:space="preserve">Marcus’s finding said three things, in this order.</w:t>
      </w:r>
    </w:p>
    <w:p>
      <w:pPr>
        <w:pStyle w:val="BodyText"/>
      </w:pPr>
      <w:r>
        <w:rPr>
          <w:bCs/>
          <w:b/>
        </w:rPr>
        <w:t xml:space="preserve">One — the magnitude.</w:t>
      </w:r>
      <w:r>
        <w:t xml:space="preserve"> </w:t>
      </w:r>
      <w:r>
        <w:t xml:space="preserve">Six production imports during the quarter had no approved change ticket, all arising from a single out-of-hours incident.</w:t>
      </w:r>
    </w:p>
    <w:p>
      <w:pPr>
        <w:pStyle w:val="BodyText"/>
      </w:pPr>
      <w:r>
        <w:rPr>
          <w:bCs/>
          <w:b/>
        </w:rPr>
        <w:t xml:space="preserve">Two — the root cause.</w:t>
      </w:r>
      <w:r>
        <w:t xml:space="preserve"> </w:t>
      </w:r>
      <w:r>
        <w:t xml:space="preserve">No emergency change procedure exists. There is no defined path for authorised bypass, no requirement for retrospective approval within a window, and no post-implementation review.</w:t>
      </w:r>
    </w:p>
    <w:p>
      <w:pPr>
        <w:pStyle w:val="BodyText"/>
      </w:pPr>
      <w:r>
        <w:rPr>
          <w:bCs/>
          <w:b/>
        </w:rPr>
        <w:t xml:space="preserve">Three — what he did</w:t>
      </w:r>
      <w:r>
        <w:rPr>
          <w:bCs/>
          <w:b/>
        </w:rPr>
        <w:t xml:space="preserve"> </w:t>
      </w:r>
      <w:r>
        <w:rPr>
          <w:iCs/>
          <w:i/>
          <w:bCs/>
          <w:b/>
        </w:rPr>
        <w:t xml:space="preserve">not</w:t>
      </w:r>
      <w:r>
        <w:rPr>
          <w:bCs/>
          <w:b/>
        </w:rPr>
        <w:t xml:space="preserve"> </w:t>
      </w:r>
      <w:r>
        <w:rPr>
          <w:bCs/>
          <w:b/>
        </w:rPr>
        <w:t xml:space="preserve">find.</w:t>
      </w:r>
      <w:r>
        <w:t xml:space="preserve"> </w:t>
      </w:r>
      <w:r>
        <w:t xml:space="preserve">Review of the transport contents identified no unauthorised functional change. One transport contained an unrelated configuration change, explained by management as incidental; the explanation was recorded as given and not independently corroborated.</w:t>
      </w:r>
    </w:p>
    <w:p>
      <w:pPr>
        <w:pStyle w:val="BodyText"/>
      </w:pPr>
      <w:r>
        <w:t xml:space="preserve">And the recommendation was not</w:t>
      </w:r>
      <w:r>
        <w:t xml:space="preserve"> </w:t>
      </w:r>
      <w:r>
        <w:t xml:space="preserve">“</w:t>
      </w:r>
      <w:r>
        <w:t xml:space="preserve">stop making emergency changes.</w:t>
      </w:r>
      <w:r>
        <w:t xml:space="preserve">”</w:t>
      </w:r>
    </w:p>
    <w:p>
      <w:pPr>
        <w:pStyle w:val="BlockText"/>
      </w:pPr>
      <w:r>
        <w:rPr>
          <w:bCs/>
          <w:b/>
        </w:rPr>
        <w:t xml:space="preserve">Build the process that makes an emergency change auditable after the fact.</w:t>
      </w:r>
    </w:p>
    <w:bookmarkEnd w:id="35"/>
    <w:bookmarkStart w:id="36" w:name="the-line-that-mattered"/>
    <w:p>
      <w:pPr>
        <w:pStyle w:val="Heading4"/>
      </w:pPr>
      <w:r>
        <w:t xml:space="preserve">The line that mattered</w:t>
      </w:r>
    </w:p>
    <w:p>
      <w:pPr>
        <w:pStyle w:val="FirstParagraph"/>
      </w:pPr>
      <w:r>
        <w:t xml:space="preserve">Nadia said this to Marcus while he was drafting, and it’s worth carrying:</w:t>
      </w:r>
    </w:p>
    <w:p>
      <w:pPr>
        <w:pStyle w:val="BlockText"/>
      </w:pPr>
      <w:r>
        <w:rPr>
          <w:iCs/>
          <w:i/>
        </w:rPr>
        <w:t xml:space="preserve">“</w:t>
      </w:r>
      <w:r>
        <w:rPr>
          <w:iCs/>
          <w:i/>
        </w:rPr>
        <w:t xml:space="preserve">If your remediation would have caused the outage, it’s a bad remediation.</w:t>
      </w:r>
      <w:r>
        <w:rPr>
          <w:iCs/>
          <w:i/>
        </w:rPr>
        <w:t xml:space="preserve">”</w:t>
      </w:r>
    </w:p>
    <w:p>
      <w:pPr>
        <w:pStyle w:val="FirstParagraph"/>
      </w:pPr>
      <w:r>
        <w:t xml:space="preserve">Ilse prevented a business failure. Had she refused and waited for Tuesday’s board, the finding would have been different and arguably worse.</w:t>
      </w:r>
      <w:r>
        <w:t xml:space="preserve"> </w:t>
      </w:r>
      <w:r>
        <w:rPr>
          <w:bCs/>
          <w:b/>
        </w:rPr>
        <w:t xml:space="preserve">Nobody in this story is a villain.</w:t>
      </w:r>
      <w:r>
        <w:t xml:space="preserve"> </w:t>
      </w:r>
      <w:r>
        <w:t xml:space="preserve">The deficiency is a missing process, not a bad decision.</w:t>
      </w:r>
    </w:p>
    <w:bookmarkEnd w:id="36"/>
    <w:bookmarkStart w:id="37" w:name="what-to-notice"/>
    <w:p>
      <w:pPr>
        <w:pStyle w:val="Heading4"/>
      </w:pPr>
      <w:r>
        <w:t xml:space="preserve">What to notice</w:t>
      </w:r>
    </w:p>
    <w:p>
      <w:pPr>
        <w:pStyle w:val="FirstParagraph"/>
      </w:pPr>
      <w:r>
        <w:rPr>
          <w:bCs/>
          <w:b/>
        </w:rPr>
        <w:t xml:space="preserve">1. The first population was wrong, and it looked right.</w:t>
      </w:r>
      <w:r>
        <w:t xml:space="preserve"> </w:t>
      </w:r>
      <w:r>
        <w:t xml:space="preserve">Ticket-first reconciliation matches perfectly, every time, because both sides come from the same source. A test that can’t fail isn’t a test.</w:t>
      </w:r>
    </w:p>
    <w:p>
      <w:pPr>
        <w:pStyle w:val="BodyText"/>
      </w:pPr>
      <w:r>
        <w:rPr>
          <w:bCs/>
          <w:b/>
        </w:rPr>
        <w:t xml:space="preserve">2. The population comes from the system, the comparison comes from the process.</w:t>
      </w:r>
      <w:r>
        <w:t xml:space="preserve"> </w:t>
      </w:r>
      <w:r>
        <w:t xml:space="preserve">Never the other way round. Production’s import history exists whether anyone wanted it to or not.</w:t>
      </w:r>
    </w:p>
    <w:p>
      <w:pPr>
        <w:pStyle w:val="BodyText"/>
      </w:pPr>
      <w:r>
        <w:rPr>
          <w:bCs/>
          <w:b/>
        </w:rPr>
        <w:t xml:space="preserve">3. Retrospective documentation is not approval.</w:t>
      </w:r>
      <w:r>
        <w:t xml:space="preserve"> </w:t>
      </w:r>
      <w:r>
        <w:t xml:space="preserve">It might be acceptable — but only if a procedure exists that says under what conditions it is.</w:t>
      </w:r>
    </w:p>
    <w:p>
      <w:pPr>
        <w:pStyle w:val="BodyText"/>
      </w:pPr>
      <w:r>
        <w:rPr>
          <w:bCs/>
          <w:b/>
        </w:rPr>
        <w:t xml:space="preserve">4. Nobody looked inside the transports.</w:t>
      </w:r>
      <w:r>
        <w:t xml:space="preserve"> </w:t>
      </w:r>
      <w:r>
        <w:t xml:space="preserve">Six changes, and the natural question —</w:t>
      </w:r>
      <w:r>
        <w:t xml:space="preserve"> </w:t>
      </w:r>
      <w:r>
        <w:rPr>
          <w:iCs/>
          <w:i/>
        </w:rPr>
        <w:t xml:space="preserve">what was actually in them?</w:t>
      </w:r>
      <w:r>
        <w:t xml:space="preserve"> </w:t>
      </w:r>
      <w:r>
        <w:t xml:space="preserve">— went unasked until Nadia asked it.</w:t>
      </w:r>
    </w:p>
    <w:p>
      <w:pPr>
        <w:pStyle w:val="BodyText"/>
      </w:pPr>
      <w:r>
        <w:rPr>
          <w:bCs/>
          <w:b/>
        </w:rPr>
        <w:t xml:space="preserve">5. The finding says what wasn’t found.</w:t>
      </w:r>
      <w:r>
        <w:t xml:space="preserve"> </w:t>
      </w:r>
      <w:r>
        <w:t xml:space="preserve">A finding that omits the mitigating fact reads as sloppy or slanted. Both cost you the process owner you now need on your side.</w:t>
      </w:r>
    </w:p>
    <w:bookmarkEnd w:id="37"/>
    <w:bookmarkStart w:id="38" w:name="the-question-to-bring-to-class"/>
    <w:p>
      <w:pPr>
        <w:pStyle w:val="Heading4"/>
      </w:pPr>
      <w:r>
        <w:t xml:space="preserve">The question to bring to class</w:t>
      </w:r>
    </w:p>
    <w:p>
      <w:pPr>
        <w:pStyle w:val="FirstParagraph"/>
      </w:pPr>
      <w:r>
        <w:rPr>
          <w:bCs/>
          <w:b/>
        </w:rPr>
        <w:t xml:space="preserve">If a change went into production without approval, where would the evidence of that even live?</w:t>
      </w:r>
    </w:p>
    <w:p>
      <w:pPr>
        <w:pStyle w:val="BodyText"/>
      </w:pPr>
      <w:r>
        <w:t xml:space="preserve">Come with an answer. It doesn’t have to be right — the point is to have thought about it before someone tells you.</w:t>
      </w:r>
    </w:p>
    <w:bookmarkEnd w:id="38"/>
    <w:bookmarkStart w:id="39" w:name="before-the-demo-lab-1"/>
    <w:p>
      <w:pPr>
        <w:pStyle w:val="Heading4"/>
      </w:pPr>
      <w:r>
        <w:t xml:space="preserve">Before the Demo Lab</w:t>
      </w:r>
    </w:p>
    <w:p>
      <w:pPr>
        <w:pStyle w:val="FirstParagraph"/>
      </w:pPr>
      <w:r>
        <w:rPr>
          <w:bCs/>
          <w:b/>
        </w:rPr>
        <w:t xml:space="preserve">The question:</w:t>
      </w:r>
      <w:r>
        <w:t xml:space="preserve"> </w:t>
      </w:r>
      <w:r>
        <w:t xml:space="preserve">did every change that reached production have an approval before it got there?</w:t>
      </w:r>
    </w:p>
    <w:bookmarkEnd w:id="39"/>
    <w:bookmarkStart w:id="40" w:name="the-screens-1"/>
    <w:p>
      <w:pPr>
        <w:pStyle w:val="Heading4"/>
      </w:pPr>
      <w:r>
        <w:t xml:space="preserve">The screens</w:t>
      </w:r>
    </w:p>
    <w:tbl>
      <w:tblPr>
        <w:tblStyle w:val="Table"/>
        <w:tblW w:type="pct" w:w="4922"/>
        <w:tblLook w:firstRow="1" w:lastRow="0" w:firstColumn="0" w:lastColumn="0" w:noHBand="0" w:noVBand="0" w:val="0020"/>
        <w:jc w:val="start"/>
      </w:tblPr>
      <w:tblGrid>
        <w:gridCol w:w="1657"/>
        <w:gridCol w:w="6139"/>
      </w:tblGrid>
      <w:tr>
        <w:trPr>
          <w:tblHeader w:val="true"/>
        </w:trPr>
        <w:tc>
          <w:tcPr/>
          <w:p>
            <w:pPr>
              <w:pStyle w:val="Compact"/>
              <w:jc w:val="left"/>
            </w:pPr>
            <w:r>
              <w:rPr>
                <w:bCs/>
                <w:b/>
                <w:color w:val="FFFFFF"/>
              </w:rPr>
              <w:t xml:space="preserve">Screen</w:t>
            </w:r>
          </w:p>
        </w:tc>
        <w:tc>
          <w:tcPr/>
          <w:p>
            <w:pPr>
              <w:pStyle w:val="Compact"/>
              <w:jc w:val="left"/>
            </w:pPr>
            <w:r>
              <w:rPr>
                <w:bCs/>
                <w:b/>
                <w:color w:val="FFFFFF"/>
              </w:rPr>
              <w:t xml:space="preserve">What it’s for</w:t>
            </w:r>
          </w:p>
        </w:tc>
      </w:tr>
      <w:tr>
        <w:tc>
          <w:tcPr/>
          <w:p>
            <w:pPr>
              <w:pStyle w:val="Compact"/>
              <w:jc w:val="left"/>
            </w:pPr>
            <w:r>
              <w:rPr>
                <w:rStyle w:val="VerbatimChar"/>
              </w:rPr>
              <w:t xml:space="preserve">STMS</w:t>
            </w:r>
          </w:p>
        </w:tc>
        <w:tc>
          <w:tcPr/>
          <w:p>
            <w:pPr>
              <w:pStyle w:val="Compact"/>
              <w:jc w:val="left"/>
            </w:pPr>
            <w:r>
              <w:t xml:space="preserve">Transport Management System — and specifically the</w:t>
            </w:r>
            <w:r>
              <w:t xml:space="preserve"> </w:t>
            </w:r>
            <w:r>
              <w:rPr>
                <w:bCs/>
                <w:b/>
              </w:rPr>
              <w:t xml:space="preserve">import history for the production system</w:t>
            </w:r>
          </w:p>
        </w:tc>
      </w:tr>
      <w:tr>
        <w:tc>
          <w:tcPr/>
          <w:p>
            <w:pPr>
              <w:pStyle w:val="Compact"/>
              <w:jc w:val="left"/>
            </w:pPr>
            <w:r>
              <w:rPr>
                <w:rStyle w:val="VerbatimChar"/>
              </w:rPr>
              <w:t xml:space="preserve">SE01</w:t>
            </w:r>
            <w:r>
              <w:t xml:space="preserve"> </w:t>
            </w:r>
            <w:r>
              <w:t xml:space="preserve">/</w:t>
            </w:r>
            <w:r>
              <w:t xml:space="preserve"> </w:t>
            </w:r>
            <w:r>
              <w:rPr>
                <w:rStyle w:val="VerbatimChar"/>
              </w:rPr>
              <w:t xml:space="preserve">SE09</w:t>
            </w:r>
            <w:r>
              <w:t xml:space="preserve"> </w:t>
            </w:r>
            <w:r>
              <w:t xml:space="preserve">/</w:t>
            </w:r>
            <w:r>
              <w:t xml:space="preserve"> </w:t>
            </w:r>
            <w:r>
              <w:rPr>
                <w:rStyle w:val="VerbatimChar"/>
              </w:rPr>
              <w:t xml:space="preserve">SE10</w:t>
            </w:r>
          </w:p>
        </w:tc>
        <w:tc>
          <w:tcPr/>
          <w:p>
            <w:pPr>
              <w:pStyle w:val="Compact"/>
              <w:jc w:val="left"/>
            </w:pPr>
            <w:r>
              <w:t xml:space="preserve">Transport organiser — open one transport and see its owner, release date, and</w:t>
            </w:r>
            <w:r>
              <w:t xml:space="preserve"> </w:t>
            </w:r>
            <w:r>
              <w:rPr>
                <w:bCs/>
                <w:b/>
              </w:rPr>
              <w:t xml:space="preserve">objects</w:t>
            </w:r>
          </w:p>
        </w:tc>
      </w:tr>
      <w:tr>
        <w:tc>
          <w:tcPr/>
          <w:p>
            <w:pPr>
              <w:pStyle w:val="Compact"/>
              <w:jc w:val="left"/>
            </w:pPr>
            <w:r>
              <w:rPr>
                <w:rStyle w:val="VerbatimChar"/>
              </w:rPr>
              <w:t xml:space="preserve">SE03</w:t>
            </w:r>
          </w:p>
        </w:tc>
        <w:tc>
          <w:tcPr/>
          <w:p>
            <w:pPr>
              <w:pStyle w:val="Compact"/>
              <w:jc w:val="left"/>
            </w:pPr>
            <w:r>
              <w:t xml:space="preserve">Transport tools and object-level searching</w:t>
            </w:r>
          </w:p>
        </w:tc>
      </w:tr>
      <w:tr>
        <w:tc>
          <w:tcPr/>
          <w:p>
            <w:pPr>
              <w:pStyle w:val="Compact"/>
              <w:jc w:val="left"/>
            </w:pPr>
            <w:r>
              <w:rPr>
                <w:rStyle w:val="VerbatimChar"/>
              </w:rPr>
              <w:t xml:space="preserve">SCC4</w:t>
            </w:r>
            <w:r>
              <w:t xml:space="preserve"> </w:t>
            </w:r>
            <w:r>
              <w:t xml:space="preserve">/</w:t>
            </w:r>
            <w:r>
              <w:t xml:space="preserve"> </w:t>
            </w:r>
            <w:r>
              <w:rPr>
                <w:rStyle w:val="VerbatimChar"/>
              </w:rPr>
              <w:t xml:space="preserve">SE06</w:t>
            </w:r>
          </w:p>
        </w:tc>
        <w:tc>
          <w:tcPr/>
          <w:p>
            <w:pPr>
              <w:pStyle w:val="Compact"/>
              <w:jc w:val="left"/>
            </w:pPr>
            <w:r>
              <w:t xml:space="preserve">Client settings and system change option — is production modifiable at all?</w:t>
            </w:r>
          </w:p>
        </w:tc>
      </w:tr>
    </w:tbl>
    <w:bookmarkEnd w:id="40"/>
    <w:bookmarkStart w:id="41" w:name="where-the-population-actually-comes-from"/>
    <w:p>
      <w:pPr>
        <w:pStyle w:val="Heading4"/>
      </w:pPr>
      <w:r>
        <w:t xml:space="preserve">Where the population actually comes from</w:t>
      </w:r>
    </w:p>
    <w:p>
      <w:pPr>
        <w:pStyle w:val="FirstParagraph"/>
      </w:pPr>
      <w:r>
        <w:rPr>
          <w:rStyle w:val="VerbatimChar"/>
        </w:rPr>
        <w:t xml:space="preserve">STMS</w:t>
      </w:r>
      <w:r>
        <w:t xml:space="preserve"> </w:t>
      </w:r>
      <w:r>
        <w:t xml:space="preserve">→ Import Overview → double-click the production system →</w:t>
      </w:r>
      <w:r>
        <w:t xml:space="preserve"> </w:t>
      </w:r>
      <w:r>
        <w:rPr>
          <w:bCs/>
          <w:b/>
        </w:rPr>
        <w:t xml:space="preserve">Import History</w:t>
      </w:r>
      <w:r>
        <w:t xml:space="preserve">.</w:t>
      </w:r>
    </w:p>
    <w:p>
      <w:pPr>
        <w:pStyle w:val="BodyText"/>
      </w:pPr>
      <w:r>
        <w:t xml:space="preserve">Be precise about what that is.</w:t>
      </w:r>
      <w:r>
        <w:t xml:space="preserve"> </w:t>
      </w:r>
      <w:r>
        <w:rPr>
          <w:bCs/>
          <w:b/>
        </w:rPr>
        <w:t xml:space="preserve">This is production’s own record of what was put into it.</w:t>
      </w:r>
    </w:p>
    <w:p>
      <w:pPr>
        <w:pStyle w:val="BodyText"/>
      </w:pPr>
      <w:r>
        <w:t xml:space="preserve">Not a request. Not a plan. Not a ticket.</w:t>
      </w:r>
      <w:r>
        <w:t xml:space="preserve"> </w:t>
      </w:r>
      <w:r>
        <w:rPr>
          <w:bCs/>
          <w:b/>
        </w:rPr>
        <w:t xml:space="preserve">What actually arrived.</w:t>
      </w:r>
    </w:p>
    <w:p>
      <w:pPr>
        <w:pStyle w:val="BodyText"/>
      </w:pPr>
      <w:r>
        <w:rPr>
          <w:bCs/>
          <w:b/>
        </w:rPr>
        <w:t xml:space="preserve">This is the population point of the whole Book, and your workpaper comes back if you get it wrong.</w:t>
      </w:r>
    </w:p>
    <w:p>
      <w:pPr>
        <w:pStyle w:val="BodyText"/>
      </w:pPr>
      <w:r>
        <w:t xml:space="preserve">The ticket system contains changes somebody remembered to raise a ticket for. Ilse’s six weekend transports were not in it — that</w:t>
      </w:r>
      <w:r>
        <w:t xml:space="preserve"> </w:t>
      </w:r>
      <w:r>
        <w:rPr>
          <w:iCs/>
          <w:i/>
        </w:rPr>
        <w:t xml:space="preserve">is</w:t>
      </w:r>
      <w:r>
        <w:t xml:space="preserve"> </w:t>
      </w:r>
      <w:r>
        <w:t xml:space="preserve">the Book.</w:t>
      </w:r>
    </w:p>
    <w:p>
      <w:pPr>
        <w:pStyle w:val="BodyText"/>
      </w:pPr>
      <w:r>
        <w:rPr>
          <w:bCs/>
          <w:b/>
        </w:rPr>
        <w:t xml:space="preserve">You cannot find an unapproved change in the list of approved changes.</w:t>
      </w:r>
    </w:p>
    <w:p>
      <w:pPr>
        <w:pStyle w:val="BodyText"/>
      </w:pPr>
      <w:r>
        <w:t xml:space="preserve">Population from the system. Comparison from the process. Never the reverse.</w:t>
      </w:r>
    </w:p>
    <w:bookmarkEnd w:id="41"/>
    <w:bookmarkStart w:id="42" w:name="reading-the-import-history"/>
    <w:p>
      <w:pPr>
        <w:pStyle w:val="Heading4"/>
      </w:pPr>
      <w:r>
        <w:t xml:space="preserve">Reading the import history</w:t>
      </w:r>
    </w:p>
    <w:p>
      <w:pPr>
        <w:pStyle w:val="FirstParagraph"/>
      </w:pPr>
      <w:r>
        <w:rPr>
          <w:bCs/>
          <w:b/>
        </w:rPr>
        <w:t xml:space="preserve">Three columns, plus one.</w:t>
      </w:r>
    </w:p>
    <w:p>
      <w:pPr>
        <w:numPr>
          <w:ilvl w:val="0"/>
          <w:numId w:val="1002"/>
        </w:numPr>
        <w:pStyle w:val="Compact"/>
      </w:pPr>
      <w:r>
        <w:t xml:space="preserve">The</w:t>
      </w:r>
      <w:r>
        <w:t xml:space="preserve"> </w:t>
      </w:r>
      <w:r>
        <w:rPr>
          <w:bCs/>
          <w:b/>
        </w:rPr>
        <w:t xml:space="preserve">transport request</w:t>
      </w:r>
      <w:r>
        <w:t xml:space="preserve"> </w:t>
      </w:r>
      <w:r>
        <w:t xml:space="preserve">number</w:t>
      </w:r>
    </w:p>
    <w:p>
      <w:pPr>
        <w:numPr>
          <w:ilvl w:val="0"/>
          <w:numId w:val="1002"/>
        </w:numPr>
        <w:pStyle w:val="Compact"/>
      </w:pPr>
      <w:r>
        <w:t xml:space="preserve">The</w:t>
      </w:r>
      <w:r>
        <w:t xml:space="preserve"> </w:t>
      </w:r>
      <w:r>
        <w:rPr>
          <w:bCs/>
          <w:b/>
        </w:rPr>
        <w:t xml:space="preserve">owner</w:t>
      </w:r>
      <w:r>
        <w:t xml:space="preserve"> </w:t>
      </w:r>
      <w:r>
        <w:t xml:space="preserve">— who created it</w:t>
      </w:r>
    </w:p>
    <w:p>
      <w:pPr>
        <w:numPr>
          <w:ilvl w:val="0"/>
          <w:numId w:val="1002"/>
        </w:numPr>
        <w:pStyle w:val="Compact"/>
      </w:pPr>
      <w:r>
        <w:t xml:space="preserve">The</w:t>
      </w:r>
      <w:r>
        <w:t xml:space="preserve"> </w:t>
      </w:r>
      <w:r>
        <w:rPr>
          <w:bCs/>
          <w:b/>
        </w:rPr>
        <w:t xml:space="preserve">import date and time</w:t>
      </w:r>
    </w:p>
    <w:p>
      <w:pPr>
        <w:numPr>
          <w:ilvl w:val="0"/>
          <w:numId w:val="1002"/>
        </w:numPr>
        <w:pStyle w:val="Compact"/>
      </w:pPr>
      <w:r>
        <w:t xml:space="preserve">And the</w:t>
      </w:r>
      <w:r>
        <w:t xml:space="preserve"> </w:t>
      </w:r>
      <w:r>
        <w:rPr>
          <w:bCs/>
          <w:b/>
        </w:rPr>
        <w:t xml:space="preserve">return code</w:t>
      </w:r>
      <w:r>
        <w:t xml:space="preserve">: zero is clean, four is warnings,</w:t>
      </w:r>
      <w:r>
        <w:t xml:space="preserve"> </w:t>
      </w:r>
      <w:r>
        <w:rPr>
          <w:bCs/>
          <w:b/>
        </w:rPr>
        <w:t xml:space="preserve">eight or above means something failed</w:t>
      </w:r>
    </w:p>
    <w:p>
      <w:pPr>
        <w:pStyle w:val="FirstParagraph"/>
      </w:pPr>
      <w:r>
        <w:t xml:space="preserve">A transport that imported with return code eight is a change that half-happened. Half-happened changes are their own kind of finding.</w:t>
      </w:r>
    </w:p>
    <w:bookmarkEnd w:id="42"/>
    <w:bookmarkStart w:id="43" w:name="set-your-period-explicitly"/>
    <w:p>
      <w:pPr>
        <w:pStyle w:val="Heading4"/>
      </w:pPr>
      <w:r>
        <w:t xml:space="preserve">Set your period explicitly</w:t>
      </w:r>
    </w:p>
    <w:p>
      <w:pPr>
        <w:pStyle w:val="FirstParagraph"/>
      </w:pPr>
      <w:r>
        <w:t xml:space="preserve">The default view is not your period.</w:t>
      </w:r>
    </w:p>
    <w:p>
      <w:pPr>
        <w:pStyle w:val="BodyText"/>
      </w:pPr>
      <w:r>
        <w:t xml:space="preserve">Accept it and you’ve silently tested whatever range SAP felt like showing you.</w:t>
      </w:r>
    </w:p>
    <w:bookmarkEnd w:id="43"/>
    <w:bookmarkStart w:id="44" w:name="then-look-inside-one"/>
    <w:p>
      <w:pPr>
        <w:pStyle w:val="Heading4"/>
      </w:pPr>
      <w:r>
        <w:t xml:space="preserve">Then look inside one</w:t>
      </w:r>
    </w:p>
    <w:p>
      <w:pPr>
        <w:pStyle w:val="FirstParagraph"/>
      </w:pPr>
      <w:r>
        <w:rPr>
          <w:rStyle w:val="VerbatimChar"/>
        </w:rPr>
        <w:t xml:space="preserve">SE01</w:t>
      </w:r>
      <w:r>
        <w:t xml:space="preserve"> </w:t>
      </w:r>
      <w:r>
        <w:t xml:space="preserve">→ enter a transport number → display → expand the objects list.</w:t>
      </w:r>
    </w:p>
    <w:p>
      <w:pPr>
        <w:pStyle w:val="BodyText"/>
      </w:pPr>
      <w:r>
        <w:t xml:space="preserve">Here’s the owner, the release date, and — the part people skip —</w:t>
      </w:r>
      <w:r>
        <w:t xml:space="preserve"> </w:t>
      </w:r>
      <w:r>
        <w:rPr>
          <w:bCs/>
          <w:b/>
        </w:rPr>
        <w:t xml:space="preserve">the objects inside it</w:t>
      </w:r>
      <w:r>
        <w:t xml:space="preserve">. Programs, table entries, configuration objects.</w:t>
      </w:r>
    </w:p>
    <w:p>
      <w:pPr>
        <w:pStyle w:val="BodyText"/>
      </w:pPr>
      <w:r>
        <w:t xml:space="preserve">This is the extra test the story said Marcus owed. A transport that fixed a payment run is one thing. A transport that</w:t>
      </w:r>
      <w:r>
        <w:t xml:space="preserve"> </w:t>
      </w:r>
      <w:r>
        <w:rPr>
          <w:bCs/>
          <w:b/>
        </w:rPr>
        <w:t xml:space="preserve">also</w:t>
      </w:r>
      <w:r>
        <w:t xml:space="preserve"> </w:t>
      </w:r>
      <w:r>
        <w:t xml:space="preserve">changed a tolerance limit or switched off a validation is something else entirely.</w:t>
      </w:r>
    </w:p>
    <w:p>
      <w:pPr>
        <w:pStyle w:val="BodyText"/>
      </w:pPr>
      <w:r>
        <w:t xml:space="preserve">The only way to know which is to open it and look.</w:t>
      </w:r>
    </w:p>
    <w:p>
      <w:pPr>
        <w:pStyle w:val="BlockText"/>
      </w:pPr>
      <w:r>
        <w:rPr>
          <w:bCs/>
          <w:b/>
        </w:rPr>
        <w:t xml:space="preserve">“</w:t>
      </w:r>
      <w:r>
        <w:rPr>
          <w:bCs/>
          <w:b/>
        </w:rPr>
        <w:t xml:space="preserve">Emergency change</w:t>
      </w:r>
      <w:r>
        <w:rPr>
          <w:bCs/>
          <w:b/>
        </w:rPr>
        <w:t xml:space="preserve">”</w:t>
      </w:r>
      <w:r>
        <w:rPr>
          <w:bCs/>
          <w:b/>
        </w:rPr>
        <w:t xml:space="preserve"> </w:t>
      </w:r>
      <w:r>
        <w:rPr>
          <w:bCs/>
          <w:b/>
        </w:rPr>
        <w:t xml:space="preserve">explains why the process was bypassed. It doesn’t describe what was moved.</w:t>
      </w:r>
    </w:p>
    <w:bookmarkEnd w:id="44"/>
    <w:bookmarkStart w:id="45" w:name="Xc55ac692fb2103a5f241d72c6651f2512847612"/>
    <w:p>
      <w:pPr>
        <w:pStyle w:val="Heading4"/>
      </w:pPr>
      <w:r>
        <w:t xml:space="preserve">Three exception classes — three different findings</w:t>
      </w:r>
    </w:p>
    <w:p>
      <w:pPr>
        <w:pStyle w:val="FirstParagraph"/>
      </w:pPr>
      <w:r>
        <w:t xml:space="preserve">Don’t lump these together.</w:t>
      </w:r>
    </w:p>
    <w:tbl>
      <w:tblPr>
        <w:tblStyle w:val="Table"/>
        <w:tblW w:type="pct" w:w="4935"/>
        <w:tblLook w:firstRow="1" w:lastRow="0" w:firstColumn="0" w:lastColumn="0" w:noHBand="0" w:noVBand="0" w:val="0020"/>
        <w:jc w:val="start"/>
      </w:tblPr>
      <w:tblGrid>
        <w:gridCol w:w="2982"/>
        <w:gridCol w:w="4834"/>
      </w:tblGrid>
      <w:tr>
        <w:trPr>
          <w:tblHeader w:val="true"/>
        </w:trPr>
        <w:tc>
          <w:tcPr/>
          <w:p>
            <w:pPr>
              <w:pStyle w:val="Compact"/>
              <w:jc w:val="left"/>
            </w:pPr>
            <w:r>
              <w:rPr>
                <w:bCs/>
                <w:b/>
                <w:color w:val="FFFFFF"/>
              </w:rPr>
              <w:t xml:space="preserve">Exception</w:t>
            </w:r>
          </w:p>
        </w:tc>
        <w:tc>
          <w:tcPr/>
          <w:p>
            <w:pPr>
              <w:pStyle w:val="Compact"/>
              <w:jc w:val="left"/>
            </w:pPr>
            <w:r>
              <w:rPr>
                <w:bCs/>
                <w:b/>
                <w:color w:val="FFFFFF"/>
              </w:rPr>
              <w:t xml:space="preserve">What it means</w:t>
            </w:r>
          </w:p>
        </w:tc>
      </w:tr>
      <w:tr>
        <w:tc>
          <w:tcPr/>
          <w:p>
            <w:pPr>
              <w:pStyle w:val="Compact"/>
              <w:jc w:val="left"/>
            </w:pPr>
            <w:r>
              <w:rPr>
                <w:bCs/>
                <w:b/>
              </w:rPr>
              <w:t xml:space="preserve">No ticket at all</w:t>
            </w:r>
          </w:p>
        </w:tc>
        <w:tc>
          <w:tcPr/>
          <w:p>
            <w:pPr>
              <w:pStyle w:val="Compact"/>
              <w:jc w:val="left"/>
            </w:pPr>
            <w:r>
              <w:t xml:space="preserve">The Book 2 finding</w:t>
            </w:r>
          </w:p>
        </w:tc>
      </w:tr>
      <w:tr>
        <w:tc>
          <w:tcPr/>
          <w:p>
            <w:pPr>
              <w:pStyle w:val="Compact"/>
              <w:jc w:val="left"/>
            </w:pPr>
            <w:r>
              <w:rPr>
                <w:bCs/>
                <w:b/>
              </w:rPr>
              <w:t xml:space="preserve">Approval date after import date</w:t>
            </w:r>
          </w:p>
        </w:tc>
        <w:tc>
          <w:tcPr/>
          <w:p>
            <w:pPr>
              <w:pStyle w:val="Compact"/>
              <w:jc w:val="left"/>
            </w:pPr>
            <w:r>
              <w:t xml:space="preserve">Retrospective approval. Acceptable if an emergency process exists. A finding if it doesn’t.</w:t>
            </w:r>
          </w:p>
        </w:tc>
      </w:tr>
      <w:tr>
        <w:tc>
          <w:tcPr/>
          <w:p>
            <w:pPr>
              <w:pStyle w:val="Compact"/>
              <w:jc w:val="left"/>
            </w:pPr>
            <w:r>
              <w:rPr>
                <w:bCs/>
                <w:b/>
              </w:rPr>
              <w:t xml:space="preserve">Import by a user outside the authorised Basis group</w:t>
            </w:r>
          </w:p>
        </w:tc>
        <w:tc>
          <w:tcPr/>
          <w:p>
            <w:pPr>
              <w:pStyle w:val="Compact"/>
              <w:jc w:val="left"/>
            </w:pPr>
            <w:r>
              <w:t xml:space="preserve">An</w:t>
            </w:r>
            <w:r>
              <w:t xml:space="preserve"> </w:t>
            </w:r>
            <w:r>
              <w:rPr>
                <w:bCs/>
                <w:b/>
              </w:rPr>
              <w:t xml:space="preserve">access</w:t>
            </w:r>
            <w:r>
              <w:t xml:space="preserve"> </w:t>
            </w:r>
            <w:r>
              <w:t xml:space="preserve">finding hiding inside a change management test</w:t>
            </w:r>
          </w:p>
        </w:tc>
      </w:tr>
    </w:tbl>
    <w:bookmarkEnd w:id="45"/>
    <w:bookmarkStart w:id="46" w:name="what-youll-produce-on-the-session-1"/>
    <w:p>
      <w:pPr>
        <w:pStyle w:val="Heading4"/>
      </w:pPr>
      <w:r>
        <w:t xml:space="preserve">What you’ll produce on the session</w:t>
      </w:r>
    </w:p>
    <w:p>
      <w:pPr>
        <w:numPr>
          <w:ilvl w:val="0"/>
          <w:numId w:val="1003"/>
        </w:numPr>
        <w:pStyle w:val="Compact"/>
      </w:pPr>
      <w:r>
        <w:t xml:space="preserve">Your population extract with the</w:t>
      </w:r>
      <w:r>
        <w:t xml:space="preserve"> </w:t>
      </w:r>
      <w:r>
        <w:rPr>
          <w:bCs/>
          <w:b/>
        </w:rPr>
        <w:t xml:space="preserve">selection criteria visible</w:t>
      </w:r>
    </w:p>
    <w:p>
      <w:pPr>
        <w:numPr>
          <w:ilvl w:val="0"/>
          <w:numId w:val="1003"/>
        </w:numPr>
        <w:pStyle w:val="Compact"/>
      </w:pPr>
      <w:r>
        <w:t xml:space="preserve">For one transport, a one-line description of what it actually contained</w:t>
      </w:r>
    </w:p>
    <w:bookmarkEnd w:id="46"/>
    <w:bookmarkStart w:id="47" w:name="the-question-to-bring-2"/>
    <w:p>
      <w:pPr>
        <w:pStyle w:val="Heading4"/>
      </w:pPr>
      <w:r>
        <w:t xml:space="preserve">The question to bring</w:t>
      </w:r>
    </w:p>
    <w:p>
      <w:pPr>
        <w:pStyle w:val="BlockText"/>
      </w:pPr>
      <w:r>
        <w:t xml:space="preserve">Did the ticket exist before the transport was released, or after? How did you get the full population of emergency transports?</w:t>
      </w:r>
    </w:p>
    <w:p>
      <w:pPr>
        <w:pStyle w:val="FirstParagraph"/>
      </w:pPr>
      <w:r>
        <w:t xml:space="preserve">Decide your answer before the session — in Defend It, someone will ask it.</w:t>
      </w:r>
    </w:p>
    <w:bookmarkEnd w:id="47"/>
    <w:bookmarkEnd w:id="48"/>
    <w:bookmarkEnd w:id="49"/>
    <w:bookmarkStart w:id="60" w:name="session-8-sun-book-20-the-back-door"/>
    <w:p>
      <w:pPr>
        <w:pStyle w:val="Heading2"/>
      </w:pPr>
      <w:r>
        <w:t xml:space="preserve">Session 8 — Sun · Book 20 — The Back Door</w:t>
      </w:r>
    </w:p>
    <w:bookmarkStart w:id="51" w:name="book-20-the-back-door"/>
    <w:p>
      <w:pPr>
        <w:pStyle w:val="Heading3"/>
      </w:pPr>
      <w:r>
        <w:t xml:space="preserve">Book 20 — The Back Door</w:t>
      </w:r>
    </w:p>
    <w:p>
      <w:pPr>
        <w:pStyle w:val="FirstParagraph"/>
      </w:pPr>
      <w:r>
        <w:rPr>
          <w:iCs/>
          <w:i/>
        </w:rPr>
        <w:t xml:space="preserve">Part II · Custom Code / ABAP Security Testing</w:t>
      </w:r>
    </w:p>
    <w:p>
      <w:pPr>
        <w:pStyle w:val="BodyText"/>
      </w:pPr>
      <w:r>
        <w:rPr>
          <w:bCs/>
          <w:b/>
        </w:rPr>
        <w:t xml:space="preserve">Change · custom code</w:t>
      </w:r>
    </w:p>
    <w:p>
      <w:pPr>
        <w:pStyle w:val="BodyText"/>
      </w:pPr>
      <w:r>
        <w:t xml:space="preserve">A custom transaction, written four years ago by a developer who has since left, quietly skips the standard authorization check.</w:t>
      </w:r>
    </w:p>
    <w:p>
      <w:pPr>
        <w:pStyle w:val="BodyText"/>
      </w:pPr>
      <w:r>
        <w:t xml:space="preserve">Every access test Thornfield runs comes back clean — because those tests look at standard transactions, and this isn’t one.</w:t>
      </w:r>
    </w:p>
    <w:p>
      <w:pPr>
        <w:pStyle w:val="BodyText"/>
      </w:pPr>
      <w:r>
        <w:rPr>
          <w:bCs/>
          <w:b/>
        </w:rPr>
        <w:t xml:space="preserve">What’s different:</w:t>
      </w:r>
      <w:r>
        <w:t xml:space="preserve"> </w:t>
      </w:r>
      <w:r>
        <w:rPr>
          <w:bCs/>
          <w:b/>
        </w:rPr>
        <w:t xml:space="preserve">custom code isn’t covered by standard controls.</w:t>
      </w:r>
      <w:r>
        <w:t xml:space="preserve"> </w:t>
      </w:r>
      <w:r>
        <w:t xml:space="preserve">Either the developer didn’t code an authorization check, or the check proposals were never maintained. Your report is clean because your report can’t see it.</w:t>
      </w:r>
    </w:p>
    <w:p>
      <w:pPr>
        <w:pStyle w:val="BodyText"/>
      </w:pPr>
      <w:r>
        <w:rPr>
          <w:bCs/>
          <w:b/>
        </w:rPr>
        <w:t xml:space="preserve">Why it sits in this Part rather than with access.</w:t>
      </w:r>
      <w:r>
        <w:t xml:space="preserve"> </w:t>
      </w:r>
      <w:r>
        <w:t xml:space="preserve">The symptom is an access failure. The cause is a change and development control that never required an authorization check to be built or reviewed. You fix it in change management, not in role design.</w:t>
      </w:r>
    </w:p>
    <w:p>
      <w:pPr>
        <w:pStyle w:val="BodyText"/>
      </w:pPr>
      <w:r>
        <w:rPr>
          <w:bCs/>
          <w:b/>
        </w:rPr>
        <w:t xml:space="preserve">Remember:</w:t>
      </w:r>
      <w:r>
        <w:t xml:space="preserve"> </w:t>
      </w:r>
      <w:r>
        <w:t xml:space="preserve">a clean access report tells you about the transactions it looked at. Ask what it didn’t look at.</w:t>
      </w:r>
    </w:p>
    <w:bookmarkStart w:id="50" w:name="the-question-to-bring-3"/>
    <w:p>
      <w:pPr>
        <w:pStyle w:val="Heading4"/>
      </w:pPr>
      <w:r>
        <w:t xml:space="preserve">The question to bring</w:t>
      </w:r>
    </w:p>
    <w:p>
      <w:pPr>
        <w:pStyle w:val="BlockText"/>
      </w:pPr>
      <w:r>
        <w:t xml:space="preserve">Which AUTHORITY-CHECK is missing, and which Part I control does that bypass? Is this a design or operating deficiency?</w:t>
      </w:r>
    </w:p>
    <w:p>
      <w:pPr>
        <w:pStyle w:val="FirstParagraph"/>
      </w:pPr>
      <w:r>
        <w:t xml:space="preserve">Decide your answer before the session — in Defend It, someone will ask it.</w:t>
      </w:r>
    </w:p>
    <w:p>
      <w:pPr>
        <w:pStyle w:val="BodyText"/>
      </w:pPr>
      <w:r>
        <w:rPr>
          <w:bCs/>
          <w:b/>
        </w:rPr>
        <w:t xml:space="preserve">Guided self-study set in this session:</w:t>
      </w:r>
      <w:r>
        <w:t xml:space="preserve"> </w:t>
      </w:r>
      <w:r>
        <w:t xml:space="preserve">Book 18 — The Untested Backup. Work through it in the app before session 9; it is checked at the start of that class.</w:t>
      </w:r>
    </w:p>
    <w:bookmarkEnd w:id="50"/>
    <w:bookmarkEnd w:id="51"/>
    <w:bookmarkStart w:id="59" w:name="Xaab5de89bba781a5d0c2645a76a671db693e147"/>
    <w:p>
      <w:pPr>
        <w:pStyle w:val="Heading3"/>
      </w:pPr>
      <w:r>
        <w:t xml:space="preserve">Book 18 — The Untested Backup (guided self-study)</w:t>
      </w:r>
    </w:p>
    <w:p>
      <w:pPr>
        <w:pStyle w:val="FirstParagraph"/>
      </w:pPr>
      <w:r>
        <w:rPr>
          <w:iCs/>
          <w:i/>
        </w:rPr>
        <w:t xml:space="preserve">Part II · Computer Operations Testing</w:t>
      </w:r>
    </w:p>
    <w:p>
      <w:pPr>
        <w:pStyle w:val="BodyText"/>
      </w:pPr>
      <w:r>
        <w:rPr>
          <w:bCs/>
          <w:b/>
        </w:rPr>
        <w:t xml:space="preserve">Computer operations · recovery</w:t>
      </w:r>
      <w:r>
        <w:t xml:space="preserve"> </w:t>
      </w:r>
      <w:r>
        <w:rPr>
          <w:iCs/>
          <w:i/>
        </w:rPr>
        <w:t xml:space="preserve">(anchor — covered at depth on the session)</w:t>
      </w:r>
    </w:p>
    <w:p>
      <w:pPr>
        <w:pStyle w:val="BodyText"/>
      </w:pPr>
      <w:r>
        <w:rPr>
          <w:bCs/>
          <w:b/>
        </w:rPr>
        <w:t xml:space="preserve">364 clean backup reports. Zero times anyone actually restored one.</w:t>
      </w:r>
    </w:p>
    <w:p>
      <w:pPr>
        <w:pStyle w:val="BodyText"/>
      </w:pPr>
      <w:r>
        <w:t xml:space="preserve">Imagine you’re the junior. You request the backup evidence. You get 364 completion reports, all successful. You sample twenty-five. All successful. You write</w:t>
      </w:r>
      <w:r>
        <w:t xml:space="preserve"> </w:t>
      </w:r>
      <w:r>
        <w:t xml:space="preserve">“</w:t>
      </w:r>
      <w:r>
        <w:t xml:space="preserve">no exceptions noted</w:t>
      </w:r>
      <w:r>
        <w:t xml:space="preserve">”</w:t>
      </w:r>
      <w:r>
        <w:t xml:space="preserve"> </w:t>
      </w:r>
      <w:r>
        <w:t xml:space="preserve">and move on.</w:t>
      </w:r>
    </w:p>
    <w:p>
      <w:pPr>
        <w:pStyle w:val="BodyText"/>
      </w:pPr>
      <w:r>
        <w:t xml:space="preserve">You’re wrong, and your workpaper is beautiful.</w:t>
      </w:r>
    </w:p>
    <w:p>
      <w:pPr>
        <w:pStyle w:val="BodyText"/>
      </w:pPr>
      <w:r>
        <w:rPr>
          <w:bCs/>
          <w:b/>
        </w:rPr>
        <w:t xml:space="preserve">What’s different:</w:t>
      </w:r>
      <w:r>
        <w:t xml:space="preserve"> </w:t>
      </w:r>
      <w:r>
        <w:t xml:space="preserve">the control</w:t>
      </w:r>
      <w:r>
        <w:t xml:space="preserve"> </w:t>
      </w:r>
      <w:r>
        <w:rPr>
          <w:bCs/>
          <w:b/>
        </w:rPr>
        <w:t xml:space="preserve">as designed cannot achieve its objective</w:t>
      </w:r>
      <w:r>
        <w:t xml:space="preserve">. The process is about backups completing. The objective is about restoration succeeding. The finding sits in the gap between those two sentences — and you can find it before pulling a single sample.</w:t>
      </w:r>
    </w:p>
    <w:p>
      <w:pPr>
        <w:pStyle w:val="BodyText"/>
      </w:pPr>
      <w:r>
        <w:rPr>
          <w:bCs/>
          <w:b/>
        </w:rPr>
        <w:t xml:space="preserve">Remember:</w:t>
      </w:r>
      <w:r>
        <w:t xml:space="preserve"> </w:t>
      </w:r>
      <w:r>
        <w:t xml:space="preserve">the only evidence that a backup is usable is having used one. And 365 nights in a year. Not 364.</w:t>
      </w:r>
    </w:p>
    <w:bookmarkStart w:id="52" w:name="before-the-demo-lab-2"/>
    <w:p>
      <w:pPr>
        <w:pStyle w:val="Heading4"/>
      </w:pPr>
      <w:r>
        <w:t xml:space="preserve">Before the Demo Lab</w:t>
      </w:r>
    </w:p>
    <w:p>
      <w:pPr>
        <w:pStyle w:val="FirstParagraph"/>
      </w:pPr>
      <w:r>
        <w:rPr>
          <w:bCs/>
          <w:b/>
        </w:rPr>
        <w:t xml:space="preserve">The question:</w:t>
      </w:r>
      <w:r>
        <w:t xml:space="preserve"> </w:t>
      </w:r>
      <w:r>
        <w:t xml:space="preserve">can the data actually be recovered?</w:t>
      </w:r>
    </w:p>
    <w:bookmarkEnd w:id="52"/>
    <w:bookmarkStart w:id="53" w:name="the-screens-2"/>
    <w:p>
      <w:pPr>
        <w:pStyle w:val="Heading4"/>
      </w:pPr>
      <w:r>
        <w:t xml:space="preserve">The screens</w:t>
      </w:r>
    </w:p>
    <w:tbl>
      <w:tblPr>
        <w:tblStyle w:val="Table"/>
        <w:tblW w:type="pct" w:w="4902"/>
        <w:tblLook w:firstRow="1" w:lastRow="0" w:firstColumn="0" w:lastColumn="0" w:noHBand="0" w:noVBand="0" w:val="0020"/>
        <w:jc w:val="start"/>
      </w:tblPr>
      <w:tblGrid>
        <w:gridCol w:w="1863"/>
        <w:gridCol w:w="5901"/>
      </w:tblGrid>
      <w:tr>
        <w:trPr>
          <w:tblHeader w:val="true"/>
        </w:trPr>
        <w:tc>
          <w:tcPr/>
          <w:p>
            <w:pPr>
              <w:pStyle w:val="Compact"/>
              <w:jc w:val="left"/>
            </w:pPr>
            <w:r>
              <w:rPr>
                <w:bCs/>
                <w:b/>
                <w:color w:val="FFFFFF"/>
              </w:rPr>
              <w:t xml:space="preserve">Screen</w:t>
            </w:r>
          </w:p>
        </w:tc>
        <w:tc>
          <w:tcPr/>
          <w:p>
            <w:pPr>
              <w:pStyle w:val="Compact"/>
              <w:jc w:val="left"/>
            </w:pPr>
            <w:r>
              <w:rPr>
                <w:bCs/>
                <w:b/>
                <w:color w:val="FFFFFF"/>
              </w:rPr>
              <w:t xml:space="preserve">What it’s for</w:t>
            </w:r>
          </w:p>
        </w:tc>
      </w:tr>
      <w:tr>
        <w:tc>
          <w:tcPr/>
          <w:p>
            <w:pPr>
              <w:pStyle w:val="Compact"/>
              <w:jc w:val="left"/>
            </w:pPr>
            <w:r>
              <w:rPr>
                <w:rStyle w:val="VerbatimChar"/>
              </w:rPr>
              <w:t xml:space="preserve">DB13</w:t>
            </w:r>
          </w:p>
        </w:tc>
        <w:tc>
          <w:tcPr/>
          <w:p>
            <w:pPr>
              <w:pStyle w:val="Compact"/>
              <w:jc w:val="left"/>
            </w:pPr>
            <w:r>
              <w:t xml:space="preserve">DBA planning calendar — scheduled database jobs, laid out as a calendar</w:t>
            </w:r>
          </w:p>
        </w:tc>
      </w:tr>
      <w:tr>
        <w:tc>
          <w:tcPr/>
          <w:p>
            <w:pPr>
              <w:pStyle w:val="Compact"/>
              <w:jc w:val="left"/>
            </w:pPr>
            <w:r>
              <w:rPr>
                <w:rStyle w:val="VerbatimChar"/>
              </w:rPr>
              <w:t xml:space="preserve">DB12</w:t>
            </w:r>
          </w:p>
        </w:tc>
        <w:tc>
          <w:tcPr/>
          <w:p>
            <w:pPr>
              <w:pStyle w:val="Compact"/>
              <w:jc w:val="left"/>
            </w:pPr>
            <w:r>
              <w:t xml:space="preserve">Backup monitoring — backup history, dates, times, completion status</w:t>
            </w:r>
          </w:p>
        </w:tc>
      </w:tr>
      <w:tr>
        <w:tc>
          <w:tcPr/>
          <w:p>
            <w:pPr>
              <w:pStyle w:val="Compact"/>
              <w:jc w:val="left"/>
            </w:pPr>
            <w:r>
              <w:rPr>
                <w:rStyle w:val="VerbatimChar"/>
              </w:rPr>
              <w:t xml:space="preserve">SM37</w:t>
            </w:r>
          </w:p>
        </w:tc>
        <w:tc>
          <w:tcPr/>
          <w:p>
            <w:pPr>
              <w:pStyle w:val="Compact"/>
              <w:jc w:val="left"/>
            </w:pPr>
            <w:r>
              <w:t xml:space="preserve">Job overview — the wider background job picture, with status filters</w:t>
            </w:r>
          </w:p>
        </w:tc>
      </w:tr>
    </w:tbl>
    <w:bookmarkEnd w:id="53"/>
    <w:bookmarkStart w:id="54" w:name="db13-look-at-the-shape-not-the-entries"/>
    <w:p>
      <w:pPr>
        <w:pStyle w:val="Heading4"/>
      </w:pPr>
      <w:r>
        <w:rPr>
          <w:rStyle w:val="VerbatimChar"/>
        </w:rPr>
        <w:t xml:space="preserve">DB13</w:t>
      </w:r>
      <w:r>
        <w:t xml:space="preserve"> </w:t>
      </w:r>
      <w:r>
        <w:t xml:space="preserve">— look at the shape, not the entries</w:t>
      </w:r>
    </w:p>
    <w:p>
      <w:pPr>
        <w:pStyle w:val="FirstParagraph"/>
      </w:pPr>
      <w:r>
        <w:t xml:space="preserve">This is one of the more useful screens in this Book, and the reason is visual.</w:t>
      </w:r>
    </w:p>
    <w:p>
      <w:pPr>
        <w:pStyle w:val="BodyText"/>
      </w:pPr>
      <w:r>
        <w:rPr>
          <w:bCs/>
          <w:b/>
        </w:rPr>
        <w:t xml:space="preserve">A night with no backup is a gap you can see.</w:t>
      </w:r>
    </w:p>
    <w:p>
      <w:pPr>
        <w:pStyle w:val="BodyText"/>
      </w:pPr>
      <w:r>
        <w:t xml:space="preserve">A row is</w:t>
      </w:r>
      <w:r>
        <w:t xml:space="preserve"> </w:t>
      </w:r>
      <w:r>
        <w:rPr>
          <w:iCs/>
          <w:i/>
        </w:rPr>
        <w:t xml:space="preserve">missing</w:t>
      </w:r>
      <w:r>
        <w:t xml:space="preserve">, rather than a row saying</w:t>
      </w:r>
      <w:r>
        <w:t xml:space="preserve"> </w:t>
      </w:r>
      <w:r>
        <w:t xml:space="preserve">“</w:t>
      </w:r>
      <w:r>
        <w:t xml:space="preserve">failed.</w:t>
      </w:r>
      <w:r>
        <w:t xml:space="preserve">”</w:t>
      </w:r>
      <w:r>
        <w:t xml:space="preserve"> </w:t>
      </w:r>
      <w:r>
        <w:t xml:space="preserve">Your eye catches it in a way a log export never lets you.</w:t>
      </w:r>
    </w:p>
    <w:bookmarkEnd w:id="54"/>
    <w:bookmarkStart w:id="55" w:name="db12-and-the-two-things-that-arent-on-it"/>
    <w:p>
      <w:pPr>
        <w:pStyle w:val="Heading4"/>
      </w:pPr>
      <w:r>
        <w:rPr>
          <w:rStyle w:val="VerbatimChar"/>
        </w:rPr>
        <w:t xml:space="preserve">DB12</w:t>
      </w:r>
      <w:r>
        <w:t xml:space="preserve"> </w:t>
      </w:r>
      <w:r>
        <w:t xml:space="preserve">— and the two things that aren’t on it</w:t>
      </w:r>
    </w:p>
    <w:p>
      <w:pPr>
        <w:pStyle w:val="FirstParagraph"/>
      </w:pPr>
      <w:r>
        <w:rPr>
          <w:bCs/>
          <w:b/>
        </w:rPr>
        <w:t xml:space="preserve">The 364.</w:t>
      </w:r>
    </w:p>
    <w:p>
      <w:pPr>
        <w:pStyle w:val="BodyText"/>
      </w:pPr>
      <w:r>
        <w:t xml:space="preserve">A year has 365 nights. You were handed 364 reports. So one night is missing — and it produces no row.</w:t>
      </w:r>
    </w:p>
    <w:p>
      <w:pPr>
        <w:pStyle w:val="BodyText"/>
      </w:pPr>
      <w:r>
        <w:t xml:space="preserve">Nothing on this screen says</w:t>
      </w:r>
      <w:r>
        <w:t xml:space="preserve"> </w:t>
      </w:r>
      <w:r>
        <w:t xml:space="preserve">“</w:t>
      </w:r>
      <w:r>
        <w:t xml:space="preserve">one missing.</w:t>
      </w:r>
      <w:r>
        <w:t xml:space="preserve">”</w:t>
      </w:r>
      <w:r>
        <w:t xml:space="preserve"> </w:t>
      </w:r>
      <w:r>
        <w:t xml:space="preserve">SAP shows you what happened.</w:t>
      </w:r>
    </w:p>
    <w:p>
      <w:pPr>
        <w:pStyle w:val="BodyText"/>
      </w:pPr>
      <w:r>
        <w:rPr>
          <w:bCs/>
          <w:b/>
        </w:rPr>
        <w:t xml:space="preserve">So your population is expected executions from the schedule.</w:t>
      </w:r>
      <w:r>
        <w:t xml:space="preserve"> </w:t>
      </w:r>
      <w:r>
        <w:t xml:space="preserve">365 nights, 365 expected runs. Your count from this screen is what you</w:t>
      </w:r>
      <w:r>
        <w:t xml:space="preserve"> </w:t>
      </w:r>
      <w:r>
        <w:rPr>
          <w:bCs/>
          <w:b/>
        </w:rPr>
        <w:t xml:space="preserve">reconcile against it</w:t>
      </w:r>
      <w:r>
        <w:t xml:space="preserve">.</w:t>
      </w:r>
    </w:p>
    <w:p>
      <w:pPr>
        <w:pStyle w:val="BodyText"/>
      </w:pPr>
      <w:r>
        <w:t xml:space="preserve">The exception is the difference. And a difference of one is invisible unless you knew the expected number</w:t>
      </w:r>
      <w:r>
        <w:t xml:space="preserve"> </w:t>
      </w:r>
      <w:r>
        <w:rPr>
          <w:bCs/>
          <w:b/>
        </w:rPr>
        <w:t xml:space="preserve">before</w:t>
      </w:r>
      <w:r>
        <w:t xml:space="preserve"> </w:t>
      </w:r>
      <w:r>
        <w:t xml:space="preserve">you opened the screen.</w:t>
      </w:r>
    </w:p>
    <w:p>
      <w:pPr>
        <w:pStyle w:val="BodyText"/>
      </w:pPr>
      <w:r>
        <w:t xml:space="preserve">That’s why the Planning Card comes before the transaction code. Field 5 decides whether you can see the finding at all.</w:t>
      </w:r>
    </w:p>
    <w:p>
      <w:pPr>
        <w:pStyle w:val="BodyText"/>
      </w:pPr>
      <w:r>
        <w:rPr>
          <w:bCs/>
          <w:b/>
        </w:rPr>
        <w:t xml:space="preserve">The restoration test.</w:t>
      </w:r>
    </w:p>
    <w:p>
      <w:pPr>
        <w:pStyle w:val="BodyText"/>
      </w:pPr>
      <w:r>
        <w:t xml:space="preserve">Scroll this screen and try to find one.</w:t>
      </w:r>
    </w:p>
    <w:p>
      <w:pPr>
        <w:pStyle w:val="BodyText"/>
      </w:pPr>
      <w:r>
        <w:t xml:space="preserve">It isn’t here. It isn’t anywhere in SAP — because a restoration test isn’t an SAP event. It’s an infrastructure exercise. A DR runbook, a test report, a ticket, an infrastructure team’s evidence file.</w:t>
      </w:r>
    </w:p>
    <w:p>
      <w:pPr>
        <w:pStyle w:val="BodyText"/>
      </w:pPr>
      <w:r>
        <w:rPr>
          <w:bCs/>
          <w:b/>
        </w:rPr>
        <w:t xml:space="preserve">Your entire operating-effectiveness evidence for the second limb of this control comes from outside the system you’re logged into.</w:t>
      </w:r>
    </w:p>
    <w:p>
      <w:pPr>
        <w:pStyle w:val="BodyText"/>
      </w:pPr>
      <w:r>
        <w:t xml:space="preserve">That isn’t a gap in your testing. It’s a fact about the control, and your workpaper says so explicitly.</w:t>
      </w:r>
    </w:p>
    <w:bookmarkEnd w:id="55"/>
    <w:bookmarkStart w:id="56" w:name="sm37-and-one-trap"/>
    <w:p>
      <w:pPr>
        <w:pStyle w:val="Heading4"/>
      </w:pPr>
      <w:r>
        <w:rPr>
          <w:rStyle w:val="VerbatimChar"/>
        </w:rPr>
        <w:t xml:space="preserve">SM37</w:t>
      </w:r>
      <w:r>
        <w:t xml:space="preserve"> </w:t>
      </w:r>
      <w:r>
        <w:t xml:space="preserve">— and one trap</w:t>
      </w:r>
    </w:p>
    <w:p>
      <w:pPr>
        <w:pStyle w:val="FirstParagraph"/>
      </w:pPr>
      <w:r>
        <w:rPr>
          <w:rStyle w:val="VerbatimChar"/>
        </w:rPr>
        <w:t xml:space="preserve">SM37</w:t>
      </w:r>
      <w:r>
        <w:t xml:space="preserve"> </w:t>
      </w:r>
      <w:r>
        <w:t xml:space="preserve">is the wider job picture — every scheduled job, not just database ones. Set the date range, and notice the status filter: scheduled, released, active,</w:t>
      </w:r>
      <w:r>
        <w:t xml:space="preserve"> </w:t>
      </w:r>
      <w:r>
        <w:rPr>
          <w:bCs/>
          <w:b/>
        </w:rPr>
        <w:t xml:space="preserve">finished, cancelled</w:t>
      </w:r>
      <w:r>
        <w:t xml:space="preserve">.</w:t>
      </w:r>
    </w:p>
    <w:p>
      <w:pPr>
        <w:pStyle w:val="BodyText"/>
      </w:pPr>
      <w:r>
        <w:t xml:space="preserve">Now the trap, and read it slowly.</w:t>
      </w:r>
    </w:p>
    <w:p>
      <w:pPr>
        <w:pStyle w:val="BodyText"/>
      </w:pPr>
      <w:r>
        <w:rPr>
          <w:iCs/>
          <w:i/>
          <w:bCs/>
          <w:b/>
        </w:rPr>
        <w:t xml:space="preserve">Finished</w:t>
      </w:r>
      <w:r>
        <w:rPr>
          <w:bCs/>
          <w:b/>
        </w:rPr>
        <w:t xml:space="preserve"> </w:t>
      </w:r>
      <w:r>
        <w:rPr>
          <w:bCs/>
          <w:b/>
        </w:rPr>
        <w:t xml:space="preserve">means the job ran to completion. It does not mean the job did what it was supposed to do.</w:t>
      </w:r>
    </w:p>
    <w:p>
      <w:pPr>
        <w:pStyle w:val="BodyText"/>
      </w:pPr>
      <w:r>
        <w:t xml:space="preserve">A job that finished having processed zero records is a finished job.</w:t>
      </w:r>
    </w:p>
    <w:p>
      <w:pPr>
        <w:pStyle w:val="BodyText"/>
      </w:pPr>
      <w:r>
        <w:rPr>
          <w:bCs/>
          <w:b/>
        </w:rPr>
        <w:t xml:space="preserve">Green here is not the same as correct.</w:t>
      </w:r>
      <w:r>
        <w:t xml:space="preserve"> </w:t>
      </w:r>
      <w:r>
        <w:t xml:space="preserve">The gap between those two sentences is most of what separates a junior’s conclusion from a senior’s.</w:t>
      </w:r>
    </w:p>
    <w:bookmarkEnd w:id="56"/>
    <w:bookmarkStart w:id="57" w:name="what-youll-produce-on-the-session-2"/>
    <w:p>
      <w:pPr>
        <w:pStyle w:val="Heading4"/>
      </w:pPr>
      <w:r>
        <w:t xml:space="preserve">What you’ll produce on the session</w:t>
      </w:r>
    </w:p>
    <w:p>
      <w:pPr>
        <w:numPr>
          <w:ilvl w:val="0"/>
          <w:numId w:val="1004"/>
        </w:numPr>
        <w:pStyle w:val="Compact"/>
      </w:pPr>
      <w:r>
        <w:t xml:space="preserve">Your expected-versus-actual execution count — with</w:t>
      </w:r>
      <w:r>
        <w:t xml:space="preserve"> </w:t>
      </w:r>
      <w:r>
        <w:rPr>
          <w:bCs/>
          <w:b/>
        </w:rPr>
        <w:t xml:space="preserve">expected written down before you open the screen</w:t>
      </w:r>
    </w:p>
    <w:p>
      <w:pPr>
        <w:numPr>
          <w:ilvl w:val="0"/>
          <w:numId w:val="1004"/>
        </w:numPr>
        <w:pStyle w:val="Compact"/>
      </w:pPr>
      <w:r>
        <w:t xml:space="preserve">The specific</w:t>
      </w:r>
      <w:r>
        <w:t xml:space="preserve"> </w:t>
      </w:r>
      <w:r>
        <w:rPr>
          <w:bCs/>
          <w:b/>
        </w:rPr>
        <w:t xml:space="preserve">dates</w:t>
      </w:r>
      <w:r>
        <w:t xml:space="preserve"> </w:t>
      </w:r>
      <w:r>
        <w:t xml:space="preserve">of any gaps. Not</w:t>
      </w:r>
      <w:r>
        <w:t xml:space="preserve"> </w:t>
      </w:r>
      <w:r>
        <w:t xml:space="preserve">“</w:t>
      </w:r>
      <w:r>
        <w:t xml:space="preserve">there were gaps.</w:t>
      </w:r>
      <w:r>
        <w:t xml:space="preserve">”</w:t>
      </w:r>
      <w:r>
        <w:t xml:space="preserve"> </w:t>
      </w:r>
      <w:r>
        <w:t xml:space="preserve">The dates.</w:t>
      </w:r>
    </w:p>
    <w:bookmarkEnd w:id="57"/>
    <w:bookmarkStart w:id="58" w:name="the-question-to-bring-4"/>
    <w:p>
      <w:pPr>
        <w:pStyle w:val="Heading4"/>
      </w:pPr>
      <w:r>
        <w:t xml:space="preserve">The question to bring</w:t>
      </w:r>
    </w:p>
    <w:p>
      <w:pPr>
        <w:pStyle w:val="BlockText"/>
      </w:pPr>
      <w:r>
        <w:t xml:space="preserve">Has a restore ever actually been tested? What is your evidence that failed IDocs were reprocessed, not just visible?</w:t>
      </w:r>
    </w:p>
    <w:p>
      <w:pPr>
        <w:pStyle w:val="FirstParagraph"/>
      </w:pPr>
      <w:r>
        <w:t xml:space="preserve">Decide your answer before the session — in Defend It, someone will ask it.</w:t>
      </w:r>
    </w:p>
    <w:bookmarkEnd w:id="58"/>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F2933"/>
      <w:sz w:val="21"/>
      <w:szCs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spacing w:after="80" w:before="0"/>
      <w:pBdr>
        <w:bottom w:color="C87F16" w:space="6" w:sz="18" w:val="single"/>
      </w:pBdr>
    </w:pPr>
    <w:rPr>
      <w:rFonts w:ascii="Cambria" w:hAnsi="Cambria"/>
      <w:b/>
      <w:color w:val="12203A"/>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spacing w:after="140" w:before="360"/>
      <w:pBdr>
        <w:bottom w:color="D6DEEA" w:space="5" w:sz="8" w:val="single"/>
      </w:pBdr>
      <w:outlineLvl w:val="0"/>
    </w:pPr>
    <w:rPr>
      <w:rFonts w:ascii="Cambria" w:hAnsi="Cambria"/>
      <w:b/>
      <w:color w:val="1B3358"/>
      <w:sz w:val="30"/>
      <w:szCs w:val="30"/>
    </w:rPr>
  </w:style>
  <w:style w:styleId="Heading2" w:type="paragraph">
    <w:name w:val="heading 2"/>
    <w:basedOn w:val="Normal"/>
    <w:next w:val="Normal"/>
    <w:qFormat/>
    <w:pPr>
      <w:keepNext/>
      <w:spacing w:after="100" w:before="280"/>
      <w:outlineLvl w:val="1"/>
    </w:pPr>
    <w:rPr>
      <w:rFonts w:ascii="Cambria" w:hAnsi="Cambria"/>
      <w:b/>
      <w:color w:val="1B3358"/>
      <w:sz w:val="24"/>
      <w:szCs w:val="24"/>
    </w:rPr>
  </w:style>
  <w:style w:styleId="Heading3" w:type="paragraph">
    <w:name w:val="heading 3"/>
    <w:basedOn w:val="Normal"/>
    <w:next w:val="Normal"/>
    <w:qFormat/>
    <w:pPr>
      <w:keepNext/>
      <w:spacing w:after="80" w:before="240"/>
      <w:outlineLvl w:val="2"/>
    </w:pPr>
    <w:rPr>
      <w:rFonts w:ascii="Calibri" w:hAnsi="Calibri"/>
      <w:b/>
      <w:color w:val="C87F16"/>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C87F16" w:space="10" w:sz="18" w:val="single"/>
      </w:pBdr>
      <w:ind w:left="288"/>
      <w:spacing w:after="140" w:before="140"/>
    </w:pPr>
    <w:rPr>
      <w:i/>
      <w:color w:val="5A6B8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pPr>
      <w:spacing w:after="40" w:before="40" w:line="240" w:lineRule="auto"/>
    </w:pPr>
    <w:rPr>
      <w:rFonts w:ascii="Calibri" w:hAnsi="Calibri"/>
      <w:sz w:val="19"/>
      <w:szCs w:val="19"/>
    </w:rPr>
    <w:tblPr>
      <w:tblBorders>
        <w:top w:color="D6DEEA" w:space="0" w:sz="4" w:val="single"/>
        <w:left w:color="auto" w:space="0" w:sz="0" w:val="none"/>
        <w:bottom w:color="D6DEEA" w:space="0" w:sz="4" w:val="single"/>
        <w:right w:color="auto" w:space="0" w:sz="0" w:val="none"/>
        <w:insideH w:color="D6DEEA" w:space="0" w:sz="4" w:val="single"/>
        <w:insideV w:color="auto" w:space="0" w:sz="0" w:val="none"/>
      </w:tblBorders>
      <w:tblCellMar>
        <w:top w:type="dxa" w:w="72"/>
        <w:left w:type="dxa" w:w="108"/>
        <w:bottom w:type="dxa" w:w="72"/>
        <w:right w:type="dxa" w:w="108"/>
      </w:tblCellMar>
    </w:tblPr>
    <w:tblStylePr w:type="firstRow">
      <w:pPr>
        <w:spacing w:after="60" w:before="60"/>
      </w:pPr>
      <w:rPr>
        <w:rFonts w:ascii="Calibri" w:hAnsi="Calibri"/>
        <w:b/>
        <w:color w:val="FFFFFF"/>
        <w:sz w:val="19"/>
      </w:rPr>
      <w:tcPr>
        <w:shd w:color="auto" w:fill="1B3358" w:val="clear"/>
        <w:tcBorders>
          <w:bottom w:color="1B3358" w:space="0" w:sz="4" w:val="single"/>
        </w:tcBorders>
      </w:tcPr>
    </w:tblStylePr>
    <w:tblStylePr w:type="band2Horz">
      <w:tcPr>
        <w:shd w:color="auto" w:fill="F5F8FC" w:val="clear"/>
      </w:tcPr>
    </w:tblStylePr>
    <w:tblStylePr w:type="firstCol">
      <w:rPr>
        <w:b/>
        <w:color w:val="1B3358"/>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2026-10-22T15:48:30Z</dcterms:created>
  <dcterms:modified xsi:type="dcterms:W3CDTF">2026-10-22T15:48:30Z</dcterms:modified>
</cp:coreProperties>
</file>

<file path=docProps/custom.xml><?xml version="1.0" encoding="utf-8"?>
<Properties xmlns="http://schemas.openxmlformats.org/officeDocument/2006/custom-properties" xmlns:vt="http://schemas.openxmlformats.org/officeDocument/2006/docPropsVTypes"/>
</file>