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Workpaper Briefs 1–3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The three marked workpapers you build and defend during the live course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TIB-FS-ASSESS-001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Course 1 — The Full Sweep (SAP SOX/ITGC) · Intermediate level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V2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Thornfield Industrial Group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Trainees</w:t>
            </w:r>
          </w:p>
        </w:tc>
      </w:tr>
    </w:tbl>
    <w:p>
      <w:pPr>
        <w:spacing w:after="60" w:before="0"/>
      </w:pP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How the workpapers work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You build three workpapers during the course — one each from access, change management, and application or Order-to-Cash controls.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Each is built on the Workpaper Template and Standard in your 02-templates folder: written as found, on the date found, before you decide whether you like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A facilitator marks each one against the 7-line rubric below and returns it within a week. With the prerequisite exam and your completed Intermediate Books, these three decide your Intermediate certificate. Self-study trainees submit them the same way.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A piece passes at a weighted score of 60 or above, with no single rubric line below 40. Below that it is returned marked “resubmit” with written feedback, and you have one week to resubmit.</w:t>
      </w:r>
    </w:p>
    <w:p>
      <w:pPr>
        <w:pStyle w:val="Heading2"/>
        <w:spacing w:after="80" w:before="180" w:line="240"/>
      </w:pPr>
      <w:r>
        <w:rPr>
          <w:rFonts w:ascii="Cambria" w:cs="Cambria" w:eastAsia="Cambria" w:hAnsi="Cambria"/>
          <w:b/>
          <w:bCs/>
          <w:color w:val="1B3358"/>
          <w:sz w:val="24"/>
          <w:szCs w:val="24"/>
        </w:rPr>
        <w:t xml:space="preserve">The rubric your workpapers are marked 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300"/>
        <w:gridCol w:w="2980"/>
      </w:tblGrid>
      <w:tr>
        <w:trPr>
          <w:tblHeader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Rubric line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 reviewer is asking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Business risk &amp; control understanding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 you say why this control exists and what goes wrong in the business if it fails — before naming a screen?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Testing strategy &amp; population definition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Did you define and source the full population yourself, and is your sample defensible?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 evaluation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evidence actually support the conclusion, or does it only look complete?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Consultant judgement &amp; escalation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Do you know when a finding goes up, and to whom?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Workpaper &amp; conclusion quality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Would this survive a reviewer's first pass without a follow-up question?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Stakeholder communication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Could the SAP team and the audit team each understand it in their own language?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SAP execution accuracy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Right transaction, right screen, display-only, selection screen then result, labelled and dated.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1 — Access &amp; Segregation of Duties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>Intermediate · assigned session 6 · due 23:59 CT on the day of session 8 · returned at session 9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 — The Access List: SoD Conflict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4 — The Next Badge: New-Hire &amp; Turnover Access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7 — The Fourth Chair: SoD Testing Outside Finance (Procurement)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16 — The Firefighter Log: Emergency Access Management (EAM)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17 — The Leaver: Joiner-Mover-Leaver (Termination Access)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one access control from Part I end to end on your own training-client login, exactly as you would on a client engagement.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Conclusion: effective or not effective — and, if not, who it escalates to. State the facts; do not rate severity (that comes in the Advanced deficiency memo)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Confirming a conflict at role level only, never at user level.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Accepting someone else's user extract instead of pulling the population yourself.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Calling access a finding without checking whether it was ever used.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2 — Change Management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>Intermediate · assigned session 9 · due 23:59 CT on the day of session 12 · returned at session 13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 — The Emergency Change: Change Management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18 — The Untested Backup: Computer Operations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19 — The Interface Gap: Interface Control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20 — The Back Door: Custom Code / ABAP Security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one change-management or IT-operations control from Part II.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Conclusion: effective or not effective — and, if not, who it escalates to. State the facts; do not rate severity (that comes in the Advanced deficiency memo)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For change tests: show that each ticket existed and was approved before the transport was released — not after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Testing “was there a ticket” instead of “did the ticket come first”.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Treating “backups run” as proof that restores work.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Missing the population of emergency transports outside the normal queue.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3 — Application Control or Order-to-Cash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>Intermediate · assigned session 13 · due 23:59 CT on the day of session 15 · returned marked within a week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24 — The Match That Wasn't: Two-Way vs. Three-Way Match Configuration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25 — The File That Left Twice: Payment Run Duplicate &amp; SoD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26 — The Bank Detail Nobody Approved: Vendor Bank Detail Change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27 — The Tolerance That Swallowed It: Invoice Price Tolerance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29 — The Held Order: Credit Management &amp; Billing-Block Release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30 — The Early Invoice: Billing Cutoff &amp; Revenue Recognition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>Test one application or Order-to-Cash control from Parts VII–VIII end to end.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Conclusion: effective or not effective — and, if not, who it escalates to. State the facts; do not rate severity (that comes in the Advanced deficiency memo)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>Design vs operating: say which kind of failure it is, and why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Reading an empty exception report as proof the control works.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Testing invoices against a match control that was never configured to catch anything.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Comparing dates instead of timestamps for cutoff.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TIB-FS-ASSESS-001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Workpaper Briefs 1–3</dc:title>
  <dc:creator>TIB Systems LLC</dc:creator>
  <cp:lastModifiedBy>Un-named</cp:lastModifiedBy>
  <cp:revision>1</cp:revision>
  <dcterms:created xsi:type="dcterms:W3CDTF">2026-10-21T18:05:25.606Z</dcterms:created>
  <dcterms:modified xsi:type="dcterms:W3CDTF">2026-10-21T18:05:25.606Z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