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400"/>
      </w:pPr>
      <w:r>
        <w:rPr>
          <w:rFonts w:ascii="Calibri" w:cs="Calibri" w:eastAsia="Calibri" w:hAnsi="Calibri"/>
          <w:b/>
          <w:bCs/>
          <w:color w:val="8F5D18"/>
          <w:sz w:val="18"/>
          <w:szCs w:val="18"/>
        </w:rPr>
        <w:t xml:space="preserve">TIB SYSTEMS LLC  ·  SAP SECURITY, GRC &amp; CONTROLS ACADEMY</w:t>
      </w:r>
    </w:p>
    <w:p>
      <w:pPr>
        <w:spacing w:after="60"/>
      </w:pPr>
      <w:r>
        <w:rPr>
          <w:rFonts w:ascii="Cambria" w:cs="Cambria" w:eastAsia="Cambria" w:hAnsi="Cambria"/>
          <w:b/>
          <w:bCs/>
          <w:color w:val="1B3358"/>
          <w:sz w:val="40"/>
          <w:szCs w:val="40"/>
        </w:rPr>
        <w:t xml:space="preserve">Student Handbook — Start Here</w:t>
      </w:r>
    </w:p>
    <w:p>
      <w:pPr>
        <w:spacing w:after="160"/>
      </w:pPr>
      <w:r>
        <w:rPr>
          <w:rFonts w:ascii="Calibri" w:cs="Calibri" w:eastAsia="Calibri" w:hAnsi="Calibri"/>
          <w:i/>
          <w:iCs/>
          <w:color w:val="4A5872"/>
          <w:sz w:val="23"/>
          <w:szCs w:val="23"/>
        </w:rPr>
        <w:t xml:space="preserve">The map of the whole course. Read it once before session 1, then keep it where you can find it.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600"/>
        <w:gridCol w:w="7480"/>
      </w:tblGrid>
      <w:tr>
        <w:trPr>
          <w:tblHeader/>
        </w:trPr>
        <w:tc>
          <w:tcPr>
            <w:tcW w:type="dxa" w:w="2600"/>
            <w:tcBorders>
              <w:top w:val="single" w:color="D5DCE6" w:sz="4"/>
              <w:left w:val="single" w:color="D5DCE6" w:sz="4"/>
              <w:bottom w:val="single" w:color="D5DCE6" w:sz="4"/>
              <w:right w:val="single" w:color="D5DCE6" w:sz="4"/>
            </w:tcBorders>
            <w:shd w:fill="1B3358"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9"/>
                <w:szCs w:val="19"/>
              </w:rPr>
              <w:t xml:space="preserve">Document</w:t>
            </w:r>
          </w:p>
        </w:tc>
        <w:tc>
          <w:tcPr>
            <w:tcW w:type="dxa" w:w="7480"/>
            <w:tcBorders>
              <w:top w:val="single" w:color="D5DCE6" w:sz="4"/>
              <w:left w:val="single" w:color="D5DCE6" w:sz="4"/>
              <w:bottom w:val="single" w:color="D5DCE6" w:sz="4"/>
              <w:right w:val="single" w:color="D5DCE6" w:sz="4"/>
            </w:tcBorders>
            <w:shd w:fill="1B3358"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9"/>
                <w:szCs w:val="19"/>
              </w:rPr>
              <w:t xml:space="preserve">Detail</w:t>
            </w:r>
          </w:p>
        </w:tc>
      </w:tr>
      <w:tr>
        <w:trPr>
          <w:cantSplit/>
        </w:trPr>
        <w:tc>
          <w:tcPr>
            <w:tcW w:type="dxa" w:w="260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9"/>
                <w:szCs w:val="19"/>
              </w:rPr>
              <w:t xml:space="preserve">Document code</w:t>
            </w:r>
          </w:p>
        </w:tc>
        <w:tc>
          <w:tcPr>
            <w:tcW w:type="dxa" w:w="748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9"/>
                <w:szCs w:val="19"/>
              </w:rPr>
              <w:t xml:space="preserve">TIB-FS-STU-001</w:t>
            </w:r>
          </w:p>
        </w:tc>
      </w:tr>
      <w:tr>
        <w:trPr>
          <w:cantSplit/>
        </w:trPr>
        <w:tc>
          <w:tcPr>
            <w:tcW w:type="dxa" w:w="2600"/>
            <w:tcBorders>
              <w:top w:val="single" w:color="D5DCE6" w:sz="4"/>
              <w:left w:val="single" w:color="D5DCE6" w:sz="4"/>
              <w:bottom w:val="single" w:color="D5DCE6" w:sz="4"/>
              <w:right w:val="single" w:color="D5DCE6" w:sz="4"/>
            </w:tcBorders>
            <w:shd w:fill="F5F8FC" w:color="auto" w:val="clear"/>
            <w:tcMar>
              <w:top w:type="dxa" w:w="60"/>
              <w:left w:type="dxa" w:w="100"/>
              <w:bottom w:type="dxa" w:w="60"/>
              <w:right w:type="dxa" w:w="100"/>
            </w:tcMar>
          </w:tcPr>
          <w:p>
            <w:pPr>
              <w:spacing w:after="0" w:before="0" w:line="240"/>
            </w:pPr>
            <w:r>
              <w:rPr>
                <w:rFonts w:ascii="Calibri" w:cs="Calibri" w:eastAsia="Calibri" w:hAnsi="Calibri"/>
                <w:b w:val="false"/>
                <w:bCs w:val="false"/>
                <w:sz w:val="19"/>
                <w:szCs w:val="19"/>
              </w:rPr>
              <w:t xml:space="preserve">Course</w:t>
            </w:r>
          </w:p>
        </w:tc>
        <w:tc>
          <w:tcPr>
            <w:tcW w:type="dxa" w:w="7480"/>
            <w:tcBorders>
              <w:top w:val="single" w:color="D5DCE6" w:sz="4"/>
              <w:left w:val="single" w:color="D5DCE6" w:sz="4"/>
              <w:bottom w:val="single" w:color="D5DCE6" w:sz="4"/>
              <w:right w:val="single" w:color="D5DCE6" w:sz="4"/>
            </w:tcBorders>
            <w:shd w:fill="F5F8FC" w:color="auto" w:val="clear"/>
            <w:tcMar>
              <w:top w:type="dxa" w:w="60"/>
              <w:left w:type="dxa" w:w="100"/>
              <w:bottom w:type="dxa" w:w="60"/>
              <w:right w:type="dxa" w:w="100"/>
            </w:tcMar>
          </w:tcPr>
          <w:p>
            <w:pPr>
              <w:spacing w:after="0" w:before="0" w:line="240"/>
            </w:pPr>
            <w:r>
              <w:rPr>
                <w:rFonts w:ascii="Calibri" w:cs="Calibri" w:eastAsia="Calibri" w:hAnsi="Calibri"/>
                <w:b w:val="false"/>
                <w:bCs w:val="false"/>
                <w:sz w:val="19"/>
                <w:szCs w:val="19"/>
              </w:rPr>
              <w:t>Course 1 — The Full Sweep (SAP SOX/ITGC) · live cohort or self-study</w:t>
            </w:r>
          </w:p>
        </w:tc>
      </w:tr>
      <w:tr>
        <w:trPr>
          <w:cantSplit/>
        </w:trPr>
        <w:tc>
          <w:tcPr>
            <w:tcW w:type="dxa" w:w="260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9"/>
                <w:szCs w:val="19"/>
              </w:rPr>
              <w:t xml:space="preserve">Version</w:t>
            </w:r>
          </w:p>
        </w:tc>
        <w:tc>
          <w:tcPr>
            <w:tcW w:type="dxa" w:w="748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9"/>
                <w:szCs w:val="19"/>
              </w:rPr>
              <w:t>V2 — October 2026 · two-level plan (Intermediate + Advanced)</w:t>
            </w:r>
          </w:p>
        </w:tc>
      </w:tr>
      <w:tr>
        <w:trPr>
          <w:cantSplit/>
        </w:trPr>
        <w:tc>
          <w:tcPr>
            <w:tcW w:type="dxa" w:w="2600"/>
            <w:tcBorders>
              <w:top w:val="single" w:color="D5DCE6" w:sz="4"/>
              <w:left w:val="single" w:color="D5DCE6" w:sz="4"/>
              <w:bottom w:val="single" w:color="D5DCE6" w:sz="4"/>
              <w:right w:val="single" w:color="D5DCE6" w:sz="4"/>
            </w:tcBorders>
            <w:shd w:fill="F5F8FC" w:color="auto" w:val="clear"/>
            <w:tcMar>
              <w:top w:type="dxa" w:w="60"/>
              <w:left w:type="dxa" w:w="100"/>
              <w:bottom w:type="dxa" w:w="60"/>
              <w:right w:type="dxa" w:w="100"/>
            </w:tcMar>
          </w:tcPr>
          <w:p>
            <w:pPr>
              <w:spacing w:after="0" w:before="0" w:line="240"/>
            </w:pPr>
            <w:r>
              <w:rPr>
                <w:rFonts w:ascii="Calibri" w:cs="Calibri" w:eastAsia="Calibri" w:hAnsi="Calibri"/>
                <w:b w:val="false"/>
                <w:bCs w:val="false"/>
                <w:sz w:val="19"/>
                <w:szCs w:val="19"/>
              </w:rPr>
              <w:t xml:space="preserve">Scenario vehicle</w:t>
            </w:r>
          </w:p>
        </w:tc>
        <w:tc>
          <w:tcPr>
            <w:tcW w:type="dxa" w:w="7480"/>
            <w:tcBorders>
              <w:top w:val="single" w:color="D5DCE6" w:sz="4"/>
              <w:left w:val="single" w:color="D5DCE6" w:sz="4"/>
              <w:bottom w:val="single" w:color="D5DCE6" w:sz="4"/>
              <w:right w:val="single" w:color="D5DCE6" w:sz="4"/>
            </w:tcBorders>
            <w:shd w:fill="F5F8FC" w:color="auto" w:val="clear"/>
            <w:tcMar>
              <w:top w:type="dxa" w:w="60"/>
              <w:left w:type="dxa" w:w="100"/>
              <w:bottom w:type="dxa" w:w="60"/>
              <w:right w:type="dxa" w:w="100"/>
            </w:tcMar>
          </w:tcPr>
          <w:p>
            <w:pPr>
              <w:spacing w:after="0" w:before="0" w:line="240"/>
            </w:pPr>
            <w:r>
              <w:rPr>
                <w:rFonts w:ascii="Calibri" w:cs="Calibri" w:eastAsia="Calibri" w:hAnsi="Calibri"/>
                <w:b w:val="false"/>
                <w:bCs w:val="false"/>
                <w:sz w:val="19"/>
                <w:szCs w:val="19"/>
              </w:rPr>
              <w:t xml:space="preserve">Thornfield Industrial Group</w:t>
            </w:r>
          </w:p>
        </w:tc>
      </w:tr>
      <w:tr>
        <w:trPr>
          <w:cantSplit/>
        </w:trPr>
        <w:tc>
          <w:tcPr>
            <w:tcW w:type="dxa" w:w="260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9"/>
                <w:szCs w:val="19"/>
              </w:rPr>
              <w:t xml:space="preserve">Audience</w:t>
            </w:r>
          </w:p>
        </w:tc>
        <w:tc>
          <w:tcPr>
            <w:tcW w:type="dxa" w:w="748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9"/>
                <w:szCs w:val="19"/>
              </w:rPr>
              <w:t xml:space="preserve">Trainees</w:t>
            </w:r>
          </w:p>
        </w:tc>
      </w:tr>
      <w:tr>
        <w:trPr>
          <w:cantSplit/>
        </w:trPr>
        <w:tc>
          <w:tcPr>
            <w:tcW w:type="dxa" w:w="2600"/>
            <w:tcBorders>
              <w:top w:val="single" w:color="D5DCE6" w:sz="4"/>
              <w:left w:val="single" w:color="D5DCE6" w:sz="4"/>
              <w:bottom w:val="single" w:color="D5DCE6" w:sz="4"/>
              <w:right w:val="single" w:color="D5DCE6" w:sz="4"/>
            </w:tcBorders>
            <w:shd w:fill="F5F8FC" w:color="auto" w:val="clear"/>
            <w:tcMar>
              <w:top w:type="dxa" w:w="60"/>
              <w:left w:type="dxa" w:w="100"/>
              <w:bottom w:type="dxa" w:w="60"/>
              <w:right w:type="dxa" w:w="100"/>
            </w:tcMar>
          </w:tcPr>
          <w:p>
            <w:pPr>
              <w:spacing w:after="0" w:before="0" w:line="240"/>
            </w:pPr>
            <w:r>
              <w:rPr>
                <w:rFonts w:ascii="Calibri" w:cs="Calibri" w:eastAsia="Calibri" w:hAnsi="Calibri"/>
                <w:b w:val="false"/>
                <w:bCs w:val="false"/>
                <w:sz w:val="19"/>
                <w:szCs w:val="19"/>
              </w:rPr>
              <w:t xml:space="preserve">Supersedes</w:t>
            </w:r>
          </w:p>
        </w:tc>
        <w:tc>
          <w:tcPr>
            <w:tcW w:type="dxa" w:w="7480"/>
            <w:tcBorders>
              <w:top w:val="single" w:color="D5DCE6" w:sz="4"/>
              <w:left w:val="single" w:color="D5DCE6" w:sz="4"/>
              <w:bottom w:val="single" w:color="D5DCE6" w:sz="4"/>
              <w:right w:val="single" w:color="D5DCE6" w:sz="4"/>
            </w:tcBorders>
            <w:shd w:fill="F5F8FC" w:color="auto" w:val="clear"/>
            <w:tcMar>
              <w:top w:type="dxa" w:w="60"/>
              <w:left w:type="dxa" w:w="100"/>
              <w:bottom w:type="dxa" w:w="60"/>
              <w:right w:type="dxa" w:w="100"/>
            </w:tcMar>
          </w:tcPr>
          <w:p>
            <w:pPr>
              <w:spacing w:after="0" w:before="0" w:line="240"/>
            </w:pPr>
            <w:r>
              <w:rPr>
                <w:rFonts w:ascii="Calibri" w:cs="Calibri" w:eastAsia="Calibri" w:hAnsi="Calibri"/>
                <w:b w:val="false"/>
                <w:bCs w:val="false"/>
                <w:sz w:val="19"/>
                <w:szCs w:val="19"/>
              </w:rPr>
              <w:t>Student Handbook V1 (20-session plan)</w:t>
            </w:r>
          </w:p>
        </w:tc>
      </w:tr>
    </w:tbl>
    <w:p>
      <w:pPr>
        <w:spacing w:after="60" w:before="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4200"/>
        <w:gridCol w:w="5880"/>
      </w:tblGrid>
      <w:tr>
        <w:trPr>
          <w:tblHeader/>
        </w:trPr>
        <w:tc>
          <w:tcPr>
            <w:tcW w:type="dxa" w:w="4200"/>
            <w:tcBorders>
              <w:top w:val="single" w:color="D5DCE6" w:sz="4"/>
              <w:left w:val="single" w:color="D5DCE6" w:sz="4"/>
              <w:bottom w:val="single" w:color="D5DCE6" w:sz="4"/>
              <w:right w:val="single" w:color="D5DCE6" w:sz="4"/>
            </w:tcBorders>
            <w:shd w:fill="1B3358"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9"/>
                <w:szCs w:val="19"/>
              </w:rPr>
              <w:t xml:space="preserve">Question</w:t>
            </w:r>
          </w:p>
        </w:tc>
        <w:tc>
          <w:tcPr>
            <w:tcW w:type="dxa" w:w="5880"/>
            <w:tcBorders>
              <w:top w:val="single" w:color="D5DCE6" w:sz="4"/>
              <w:left w:val="single" w:color="D5DCE6" w:sz="4"/>
              <w:bottom w:val="single" w:color="D5DCE6" w:sz="4"/>
              <w:right w:val="single" w:color="D5DCE6" w:sz="4"/>
            </w:tcBorders>
            <w:shd w:fill="1B3358"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9"/>
                <w:szCs w:val="19"/>
              </w:rPr>
              <w:t xml:space="preserve">Section</w:t>
            </w:r>
          </w:p>
        </w:tc>
      </w:tr>
      <w:tr>
        <w:trPr>
          <w:cantSplit/>
        </w:trPr>
        <w:tc>
          <w:tcPr>
            <w:tcW w:type="dxa" w:w="420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9"/>
                <w:szCs w:val="19"/>
              </w:rPr>
              <w:t xml:space="preserve">What am I learning?</w:t>
            </w:r>
          </w:p>
        </w:tc>
        <w:tc>
          <w:tcPr>
            <w:tcW w:type="dxa" w:w="588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9"/>
                <w:szCs w:val="19"/>
              </w:rPr>
              <w:t xml:space="preserve">1</w:t>
            </w:r>
          </w:p>
        </w:tc>
      </w:tr>
      <w:tr>
        <w:trPr>
          <w:cantSplit/>
        </w:trPr>
        <w:tc>
          <w:tcPr>
            <w:tcW w:type="dxa" w:w="4200"/>
            <w:tcBorders>
              <w:top w:val="single" w:color="D5DCE6" w:sz="4"/>
              <w:left w:val="single" w:color="D5DCE6" w:sz="4"/>
              <w:bottom w:val="single" w:color="D5DCE6" w:sz="4"/>
              <w:right w:val="single" w:color="D5DCE6" w:sz="4"/>
            </w:tcBorders>
            <w:shd w:fill="F5F8FC" w:color="auto" w:val="clear"/>
            <w:tcMar>
              <w:top w:type="dxa" w:w="60"/>
              <w:left w:type="dxa" w:w="100"/>
              <w:bottom w:type="dxa" w:w="60"/>
              <w:right w:type="dxa" w:w="100"/>
            </w:tcMar>
          </w:tcPr>
          <w:p>
            <w:pPr>
              <w:spacing w:after="0" w:before="0" w:line="240"/>
            </w:pPr>
            <w:r>
              <w:rPr>
                <w:rFonts w:ascii="Calibri" w:cs="Calibri" w:eastAsia="Calibri" w:hAnsi="Calibri"/>
                <w:b w:val="false"/>
                <w:bCs w:val="false"/>
                <w:sz w:val="19"/>
                <w:szCs w:val="19"/>
              </w:rPr>
              <w:t xml:space="preserve">When is everything?</w:t>
            </w:r>
          </w:p>
        </w:tc>
        <w:tc>
          <w:tcPr>
            <w:tcW w:type="dxa" w:w="5880"/>
            <w:tcBorders>
              <w:top w:val="single" w:color="D5DCE6" w:sz="4"/>
              <w:left w:val="single" w:color="D5DCE6" w:sz="4"/>
              <w:bottom w:val="single" w:color="D5DCE6" w:sz="4"/>
              <w:right w:val="single" w:color="D5DCE6" w:sz="4"/>
            </w:tcBorders>
            <w:shd w:fill="F5F8FC" w:color="auto" w:val="clear"/>
            <w:tcMar>
              <w:top w:type="dxa" w:w="60"/>
              <w:left w:type="dxa" w:w="100"/>
              <w:bottom w:type="dxa" w:w="60"/>
              <w:right w:type="dxa" w:w="100"/>
            </w:tcMar>
          </w:tcPr>
          <w:p>
            <w:pPr>
              <w:spacing w:after="0" w:before="0" w:line="240"/>
            </w:pPr>
            <w:r>
              <w:rPr>
                <w:rFonts w:ascii="Calibri" w:cs="Calibri" w:eastAsia="Calibri" w:hAnsi="Calibri"/>
                <w:b w:val="false"/>
                <w:bCs w:val="false"/>
                <w:sz w:val="19"/>
                <w:szCs w:val="19"/>
              </w:rPr>
              <w:t xml:space="preserve">2</w:t>
            </w:r>
          </w:p>
        </w:tc>
      </w:tr>
      <w:tr>
        <w:trPr>
          <w:cantSplit/>
        </w:trPr>
        <w:tc>
          <w:tcPr>
            <w:tcW w:type="dxa" w:w="420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9"/>
                <w:szCs w:val="19"/>
              </w:rPr>
              <w:t xml:space="preserve">What tools do I use?</w:t>
            </w:r>
          </w:p>
        </w:tc>
        <w:tc>
          <w:tcPr>
            <w:tcW w:type="dxa" w:w="588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9"/>
                <w:szCs w:val="19"/>
              </w:rPr>
              <w:t xml:space="preserve">3</w:t>
            </w:r>
          </w:p>
        </w:tc>
      </w:tr>
      <w:tr>
        <w:trPr>
          <w:cantSplit/>
        </w:trPr>
        <w:tc>
          <w:tcPr>
            <w:tcW w:type="dxa" w:w="4200"/>
            <w:tcBorders>
              <w:top w:val="single" w:color="D5DCE6" w:sz="4"/>
              <w:left w:val="single" w:color="D5DCE6" w:sz="4"/>
              <w:bottom w:val="single" w:color="D5DCE6" w:sz="4"/>
              <w:right w:val="single" w:color="D5DCE6" w:sz="4"/>
            </w:tcBorders>
            <w:shd w:fill="F5F8FC" w:color="auto" w:val="clear"/>
            <w:tcMar>
              <w:top w:type="dxa" w:w="60"/>
              <w:left w:type="dxa" w:w="100"/>
              <w:bottom w:type="dxa" w:w="60"/>
              <w:right w:type="dxa" w:w="100"/>
            </w:tcMar>
          </w:tcPr>
          <w:p>
            <w:pPr>
              <w:spacing w:after="0" w:before="0" w:line="240"/>
            </w:pPr>
            <w:r>
              <w:rPr>
                <w:rFonts w:ascii="Calibri" w:cs="Calibri" w:eastAsia="Calibri" w:hAnsi="Calibri"/>
                <w:b w:val="false"/>
                <w:bCs w:val="false"/>
                <w:sz w:val="19"/>
                <w:szCs w:val="19"/>
              </w:rPr>
              <w:t xml:space="preserve">What do I have to do?</w:t>
            </w:r>
          </w:p>
        </w:tc>
        <w:tc>
          <w:tcPr>
            <w:tcW w:type="dxa" w:w="5880"/>
            <w:tcBorders>
              <w:top w:val="single" w:color="D5DCE6" w:sz="4"/>
              <w:left w:val="single" w:color="D5DCE6" w:sz="4"/>
              <w:bottom w:val="single" w:color="D5DCE6" w:sz="4"/>
              <w:right w:val="single" w:color="D5DCE6" w:sz="4"/>
            </w:tcBorders>
            <w:shd w:fill="F5F8FC" w:color="auto" w:val="clear"/>
            <w:tcMar>
              <w:top w:type="dxa" w:w="60"/>
              <w:left w:type="dxa" w:w="100"/>
              <w:bottom w:type="dxa" w:w="60"/>
              <w:right w:type="dxa" w:w="100"/>
            </w:tcMar>
          </w:tcPr>
          <w:p>
            <w:pPr>
              <w:spacing w:after="0" w:before="0" w:line="240"/>
            </w:pPr>
            <w:r>
              <w:rPr>
                <w:rFonts w:ascii="Calibri" w:cs="Calibri" w:eastAsia="Calibri" w:hAnsi="Calibri"/>
                <w:b w:val="false"/>
                <w:bCs w:val="false"/>
                <w:sz w:val="19"/>
                <w:szCs w:val="19"/>
              </w:rPr>
              <w:t xml:space="preserve">4</w:t>
            </w:r>
          </w:p>
        </w:tc>
      </w:tr>
      <w:tr>
        <w:trPr>
          <w:cantSplit/>
        </w:trPr>
        <w:tc>
          <w:tcPr>
            <w:tcW w:type="dxa" w:w="420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9"/>
                <w:szCs w:val="19"/>
              </w:rPr>
              <w:t xml:space="preserve">How am I assessed?</w:t>
            </w:r>
          </w:p>
        </w:tc>
        <w:tc>
          <w:tcPr>
            <w:tcW w:type="dxa" w:w="588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9"/>
                <w:szCs w:val="19"/>
              </w:rPr>
              <w:t xml:space="preserve">5</w:t>
            </w:r>
          </w:p>
        </w:tc>
      </w:tr>
      <w:tr>
        <w:trPr>
          <w:cantSplit/>
        </w:trPr>
        <w:tc>
          <w:tcPr>
            <w:tcW w:type="dxa" w:w="4200"/>
            <w:tcBorders>
              <w:top w:val="single" w:color="D5DCE6" w:sz="4"/>
              <w:left w:val="single" w:color="D5DCE6" w:sz="4"/>
              <w:bottom w:val="single" w:color="D5DCE6" w:sz="4"/>
              <w:right w:val="single" w:color="D5DCE6" w:sz="4"/>
            </w:tcBorders>
            <w:shd w:fill="F5F8FC" w:color="auto" w:val="clear"/>
            <w:tcMar>
              <w:top w:type="dxa" w:w="60"/>
              <w:left w:type="dxa" w:w="100"/>
              <w:bottom w:type="dxa" w:w="60"/>
              <w:right w:type="dxa" w:w="100"/>
            </w:tcMar>
          </w:tcPr>
          <w:p>
            <w:pPr>
              <w:spacing w:after="0" w:before="0" w:line="240"/>
            </w:pPr>
            <w:r>
              <w:rPr>
                <w:rFonts w:ascii="Calibri" w:cs="Calibri" w:eastAsia="Calibri" w:hAnsi="Calibri"/>
                <w:b w:val="false"/>
                <w:bCs w:val="false"/>
                <w:sz w:val="19"/>
                <w:szCs w:val="19"/>
              </w:rPr>
              <w:t xml:space="preserve">What if something goes wrong?</w:t>
            </w:r>
          </w:p>
        </w:tc>
        <w:tc>
          <w:tcPr>
            <w:tcW w:type="dxa" w:w="5880"/>
            <w:tcBorders>
              <w:top w:val="single" w:color="D5DCE6" w:sz="4"/>
              <w:left w:val="single" w:color="D5DCE6" w:sz="4"/>
              <w:bottom w:val="single" w:color="D5DCE6" w:sz="4"/>
              <w:right w:val="single" w:color="D5DCE6" w:sz="4"/>
            </w:tcBorders>
            <w:shd w:fill="F5F8FC" w:color="auto" w:val="clear"/>
            <w:tcMar>
              <w:top w:type="dxa" w:w="60"/>
              <w:left w:type="dxa" w:w="100"/>
              <w:bottom w:type="dxa" w:w="60"/>
              <w:right w:type="dxa" w:w="100"/>
            </w:tcMar>
          </w:tcPr>
          <w:p>
            <w:pPr>
              <w:spacing w:after="0" w:before="0" w:line="240"/>
            </w:pPr>
            <w:r>
              <w:rPr>
                <w:rFonts w:ascii="Calibri" w:cs="Calibri" w:eastAsia="Calibri" w:hAnsi="Calibri"/>
                <w:b w:val="false"/>
                <w:bCs w:val="false"/>
                <w:sz w:val="19"/>
                <w:szCs w:val="19"/>
              </w:rPr>
              <w:t xml:space="preserve">7–8</w:t>
            </w:r>
          </w:p>
        </w:tc>
      </w:tr>
    </w:tbl>
    <w:p>
      <w:pPr>
        <w:spacing w:after="60" w:before="0"/>
      </w:pPr>
    </w:p>
    <w:p>
      <w:pPr>
        <w:spacing w:after="80" w:before="0" w:line="240"/>
      </w:pPr>
      <w:r>
        <w:rPr>
          <w:rFonts w:ascii="Calibri" w:cs="Calibri" w:eastAsia="Calibri" w:hAnsi="Calibri"/>
          <w:sz w:val="21"/>
          <w:szCs w:val="21"/>
        </w:rPr>
        <w:t xml:space="preserve">If you read only one other thing before session 1, make it the Controls Theory prerequisite — you must pass its exam before the first session.</w:t>
      </w:r>
    </w:p>
    <w:p>
      <w:pPr>
        <w:pStyle w:val="Heading1"/>
        <w:spacing w:after="100" w:before="240" w:line="240"/>
      </w:pPr>
      <w:r>
        <w:rPr>
          <w:rFonts w:ascii="Cambria" w:cs="Cambria" w:eastAsia="Cambria" w:hAnsi="Cambria"/>
          <w:b/>
          <w:bCs/>
          <w:color w:val="1B3358"/>
          <w:sz w:val="30"/>
          <w:szCs w:val="30"/>
        </w:rPr>
        <w:t xml:space="preserve">1 · What you are learning</w:t>
      </w:r>
    </w:p>
    <w:p>
      <w:pPr>
        <w:spacing w:after="80" w:before="0" w:line="240"/>
      </w:pPr>
      <w:r>
        <w:rPr>
          <w:rFonts w:ascii="Calibri" w:cs="Calibri" w:eastAsia="Calibri" w:hAnsi="Calibri"/>
          <w:sz w:val="21"/>
          <w:szCs w:val="21"/>
        </w:rPr>
        <w:t xml:space="preserve">How to test whether an SAP system is secure, compliant and properly controlled in a real company — and how to stand behind your conclusion when someone pushes back.</w:t>
      </w:r>
    </w:p>
    <w:p>
      <w:pPr>
        <w:spacing w:after="80" w:before="0" w:line="240"/>
      </w:pPr>
      <w:r>
        <w:rPr>
          <w:rFonts w:ascii="Calibri" w:cs="Calibri" w:eastAsia="Calibri" w:hAnsi="Calibri"/>
          <w:sz w:val="21"/>
          <w:szCs w:val="21"/>
        </w:rPr>
        <w:t xml:space="preserve">As an SAP SOX/ITGC controls consultant you verify three things:</w:t>
      </w:r>
    </w:p>
    <w:p>
      <w:pPr>
        <w:pStyle w:val="ListParagraph"/>
        <w:numPr>
          <w:ilvl w:val="0"/>
          <w:numId w:val="2"/>
        </w:numPr>
        <w:spacing w:after="40" w:before="0" w:line="240"/>
      </w:pPr>
      <w:r>
        <w:rPr>
          <w:rFonts w:ascii="Calibri" w:cs="Calibri" w:eastAsia="Calibri" w:hAnsi="Calibri"/>
          <w:sz w:val="21"/>
          <w:szCs w:val="21"/>
        </w:rPr>
        <w:t xml:space="preserve">Did the system do what it was configured to do?</w:t>
      </w:r>
    </w:p>
    <w:p>
      <w:pPr>
        <w:pStyle w:val="ListParagraph"/>
        <w:numPr>
          <w:ilvl w:val="0"/>
          <w:numId w:val="2"/>
        </w:numPr>
        <w:spacing w:after="40" w:before="0" w:line="240"/>
      </w:pPr>
      <w:r>
        <w:rPr>
          <w:rFonts w:ascii="Calibri" w:cs="Calibri" w:eastAsia="Calibri" w:hAnsi="Calibri"/>
          <w:sz w:val="21"/>
          <w:szCs w:val="21"/>
        </w:rPr>
        <w:t xml:space="preserve">Did users do only what they were authorised to do? — segregation of duties and access controls.</w:t>
      </w:r>
    </w:p>
    <w:p>
      <w:pPr>
        <w:pStyle w:val="ListParagraph"/>
        <w:numPr>
          <w:ilvl w:val="0"/>
          <w:numId w:val="2"/>
        </w:numPr>
        <w:spacing w:after="40" w:before="0" w:line="240"/>
      </w:pPr>
      <w:r>
        <w:rPr>
          <w:rFonts w:ascii="Calibri" w:cs="Calibri" w:eastAsia="Calibri" w:hAnsi="Calibri"/>
          <w:sz w:val="21"/>
          <w:szCs w:val="21"/>
        </w:rPr>
        <w:t xml:space="preserve">Is there reliable, tamper-proof evidence of what happened? — the audit trail.</w:t>
      </w:r>
    </w:p>
    <w:p>
      <w:pPr>
        <w:spacing w:after="80" w:before="0" w:line="240"/>
      </w:pPr>
      <w:r>
        <w:rPr>
          <w:rFonts w:ascii="Calibri" w:cs="Calibri" w:eastAsia="Calibri" w:hAnsi="Calibri"/>
          <w:sz w:val="21"/>
          <w:szCs w:val="21"/>
        </w:rPr>
        <w:t xml:space="preserve">You do not need an SAP background, and you will not write any code.</w:t>
      </w:r>
    </w:p>
    <w:p>
      <w:pPr>
        <w:pStyle w:val="Heading2"/>
        <w:spacing w:after="80" w:before="180" w:line="240"/>
      </w:pPr>
      <w:r>
        <w:rPr>
          <w:rFonts w:ascii="Cambria" w:cs="Cambria" w:eastAsia="Cambria" w:hAnsi="Cambria"/>
          <w:b/>
          <w:bCs/>
          <w:color w:val="1B3358"/>
          <w:sz w:val="24"/>
          <w:szCs w:val="24"/>
        </w:rPr>
        <w:t xml:space="preserve">How you learn it — I do, we do, you defend</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600"/>
        <w:gridCol w:w="7480"/>
      </w:tblGrid>
      <w:tr>
        <w:trPr>
          <w:tblHeader/>
        </w:trPr>
        <w:tc>
          <w:tcPr>
            <w:tcW w:type="dxa" w:w="2600"/>
            <w:tcBorders>
              <w:top w:val="single" w:color="D5DCE6" w:sz="4"/>
              <w:left w:val="single" w:color="D5DCE6" w:sz="4"/>
              <w:bottom w:val="single" w:color="D5DCE6" w:sz="4"/>
              <w:right w:val="single" w:color="D5DCE6" w:sz="4"/>
            </w:tcBorders>
            <w:shd w:fill="1B3358"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9"/>
                <w:szCs w:val="19"/>
              </w:rPr>
              <w:t xml:space="preserve">Step</w:t>
            </w:r>
          </w:p>
        </w:tc>
        <w:tc>
          <w:tcPr>
            <w:tcW w:type="dxa" w:w="7480"/>
            <w:tcBorders>
              <w:top w:val="single" w:color="D5DCE6" w:sz="4"/>
              <w:left w:val="single" w:color="D5DCE6" w:sz="4"/>
              <w:bottom w:val="single" w:color="D5DCE6" w:sz="4"/>
              <w:right w:val="single" w:color="D5DCE6" w:sz="4"/>
            </w:tcBorders>
            <w:shd w:fill="1B3358"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9"/>
                <w:szCs w:val="19"/>
              </w:rPr>
              <w:t xml:space="preserve">What happens</w:t>
            </w:r>
          </w:p>
        </w:tc>
      </w:tr>
      <w:tr>
        <w:trPr>
          <w:cantSplit/>
        </w:trPr>
        <w:tc>
          <w:tcPr>
            <w:tcW w:type="dxa" w:w="260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9"/>
                <w:szCs w:val="19"/>
              </w:rPr>
              <w:t xml:space="preserve">Read</w:t>
            </w:r>
          </w:p>
        </w:tc>
        <w:tc>
          <w:tcPr>
            <w:tcW w:type="dxa" w:w="748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9"/>
                <w:szCs w:val="19"/>
              </w:rPr>
              <w:t xml:space="preserve">Before each session, read that session's Book in the course app</w:t>
            </w:r>
          </w:p>
        </w:tc>
      </w:tr>
      <w:tr>
        <w:trPr>
          <w:cantSplit/>
        </w:trPr>
        <w:tc>
          <w:tcPr>
            <w:tcW w:type="dxa" w:w="2600"/>
            <w:tcBorders>
              <w:top w:val="single" w:color="D5DCE6" w:sz="4"/>
              <w:left w:val="single" w:color="D5DCE6" w:sz="4"/>
              <w:bottom w:val="single" w:color="D5DCE6" w:sz="4"/>
              <w:right w:val="single" w:color="D5DCE6" w:sz="4"/>
            </w:tcBorders>
            <w:shd w:fill="F5F8FC" w:color="auto" w:val="clear"/>
            <w:tcMar>
              <w:top w:type="dxa" w:w="60"/>
              <w:left w:type="dxa" w:w="100"/>
              <w:bottom w:type="dxa" w:w="60"/>
              <w:right w:type="dxa" w:w="100"/>
            </w:tcMar>
          </w:tcPr>
          <w:p>
            <w:pPr>
              <w:spacing w:after="0" w:before="0" w:line="240"/>
            </w:pPr>
            <w:r>
              <w:rPr>
                <w:rFonts w:ascii="Calibri" w:cs="Calibri" w:eastAsia="Calibri" w:hAnsi="Calibri"/>
                <w:b w:val="false"/>
                <w:bCs w:val="false"/>
                <w:sz w:val="19"/>
                <w:szCs w:val="19"/>
              </w:rPr>
              <w:t xml:space="preserve">Hour 1 — Theory</w:t>
            </w:r>
          </w:p>
        </w:tc>
        <w:tc>
          <w:tcPr>
            <w:tcW w:type="dxa" w:w="7480"/>
            <w:tcBorders>
              <w:top w:val="single" w:color="D5DCE6" w:sz="4"/>
              <w:left w:val="single" w:color="D5DCE6" w:sz="4"/>
              <w:bottom w:val="single" w:color="D5DCE6" w:sz="4"/>
              <w:right w:val="single" w:color="D5DCE6" w:sz="4"/>
            </w:tcBorders>
            <w:shd w:fill="F5F8FC" w:color="auto" w:val="clear"/>
            <w:tcMar>
              <w:top w:type="dxa" w:w="60"/>
              <w:left w:type="dxa" w:w="100"/>
              <w:bottom w:type="dxa" w:w="60"/>
              <w:right w:type="dxa" w:w="100"/>
            </w:tcMar>
          </w:tcPr>
          <w:p>
            <w:pPr>
              <w:spacing w:after="0" w:before="0" w:line="240"/>
            </w:pPr>
            <w:r>
              <w:rPr>
                <w:rFonts w:ascii="Calibri" w:cs="Calibri" w:eastAsia="Calibri" w:hAnsi="Calibri"/>
                <w:b w:val="false"/>
                <w:bCs w:val="false"/>
                <w:sz w:val="19"/>
                <w:szCs w:val="19"/>
              </w:rPr>
              <w:t xml:space="preserve">The facilitator breaks the case down: why the control matters, what the population is, what good evidence looks like</w:t>
            </w:r>
          </w:p>
        </w:tc>
      </w:tr>
      <w:tr>
        <w:trPr>
          <w:cantSplit/>
        </w:trPr>
        <w:tc>
          <w:tcPr>
            <w:tcW w:type="dxa" w:w="260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9"/>
                <w:szCs w:val="19"/>
              </w:rPr>
              <w:t xml:space="preserve">Hour 2 — Demo Lab</w:t>
            </w:r>
          </w:p>
        </w:tc>
        <w:tc>
          <w:tcPr>
            <w:tcW w:type="dxa" w:w="748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9"/>
                <w:szCs w:val="19"/>
              </w:rPr>
              <w:t xml:space="preserve">The facilitator runs the exact transactions live; you follow on your own SAP login</w:t>
            </w:r>
          </w:p>
        </w:tc>
      </w:tr>
      <w:tr>
        <w:trPr>
          <w:cantSplit/>
        </w:trPr>
        <w:tc>
          <w:tcPr>
            <w:tcW w:type="dxa" w:w="2600"/>
            <w:tcBorders>
              <w:top w:val="single" w:color="D5DCE6" w:sz="4"/>
              <w:left w:val="single" w:color="D5DCE6" w:sz="4"/>
              <w:bottom w:val="single" w:color="D5DCE6" w:sz="4"/>
              <w:right w:val="single" w:color="D5DCE6" w:sz="4"/>
            </w:tcBorders>
            <w:shd w:fill="F5F8FC" w:color="auto" w:val="clear"/>
            <w:tcMar>
              <w:top w:type="dxa" w:w="60"/>
              <w:left w:type="dxa" w:w="100"/>
              <w:bottom w:type="dxa" w:w="60"/>
              <w:right w:type="dxa" w:w="100"/>
            </w:tcMar>
          </w:tcPr>
          <w:p>
            <w:pPr>
              <w:spacing w:after="0" w:before="0" w:line="240"/>
            </w:pPr>
            <w:r>
              <w:rPr>
                <w:rFonts w:ascii="Calibri" w:cs="Calibri" w:eastAsia="Calibri" w:hAnsi="Calibri"/>
                <w:b w:val="false"/>
                <w:bCs w:val="false"/>
                <w:sz w:val="19"/>
                <w:szCs w:val="19"/>
              </w:rPr>
              <w:t xml:space="preserve">Defend It (last 15 min)</w:t>
            </w:r>
          </w:p>
        </w:tc>
        <w:tc>
          <w:tcPr>
            <w:tcW w:type="dxa" w:w="7480"/>
            <w:tcBorders>
              <w:top w:val="single" w:color="D5DCE6" w:sz="4"/>
              <w:left w:val="single" w:color="D5DCE6" w:sz="4"/>
              <w:bottom w:val="single" w:color="D5DCE6" w:sz="4"/>
              <w:right w:val="single" w:color="D5DCE6" w:sz="4"/>
            </w:tcBorders>
            <w:shd w:fill="F5F8FC" w:color="auto" w:val="clear"/>
            <w:tcMar>
              <w:top w:type="dxa" w:w="60"/>
              <w:left w:type="dxa" w:w="100"/>
              <w:bottom w:type="dxa" w:w="60"/>
              <w:right w:type="dxa" w:w="100"/>
            </w:tcMar>
          </w:tcPr>
          <w:p>
            <w:pPr>
              <w:spacing w:after="0" w:before="0" w:line="240"/>
            </w:pPr>
            <w:r>
              <w:rPr>
                <w:rFonts w:ascii="Calibri" w:cs="Calibri" w:eastAsia="Calibri" w:hAnsi="Calibri"/>
                <w:b w:val="false"/>
                <w:bCs w:val="false"/>
                <w:sz w:val="19"/>
                <w:szCs w:val="19"/>
              </w:rPr>
              <w:t>Two trainees present their conclusions, about 7 minutes each, and the facilitator pushes back as a reviewer would. Everyone takes turns across each level</w:t>
            </w:r>
          </w:p>
        </w:tc>
      </w:tr>
      <w:tr>
        <w:trPr>
          <w:cantSplit/>
        </w:trPr>
        <w:tc>
          <w:tcPr>
            <w:tcW w:type="dxa" w:w="260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9"/>
                <w:szCs w:val="19"/>
              </w:rPr>
              <w:t xml:space="preserve">Between sessions</w:t>
            </w:r>
          </w:p>
        </w:tc>
        <w:tc>
          <w:tcPr>
            <w:tcW w:type="dxa" w:w="748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9"/>
                <w:szCs w:val="19"/>
              </w:rPr>
              <w:t xml:space="preserve">You repeat the full walkthrough yourself and upload your evidence in the app</w:t>
            </w:r>
          </w:p>
        </w:tc>
      </w:tr>
      <w:tr>
        <w:trPr>
          <w:cantSplit/>
        </w:trPr>
        <w:tc>
          <w:tcPr>
            <w:tcW w:type="dxa" w:w="260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9"/>
                <w:szCs w:val="19"/>
              </w:rPr>
              <w:t>Self-study</w:t>
            </w:r>
          </w:p>
        </w:tc>
        <w:tc>
          <w:tcPr>
            <w:tcW w:type="dxa" w:w="748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9"/>
                <w:szCs w:val="19"/>
              </w:rPr>
              <w:t>Same order, on your own: read, do the Book in SAP with the app beside you, upload your exhibit, then answer the session's Defend It question. The Trainee User Guide walks you through it</w:t>
            </w:r>
          </w:p>
        </w:tc>
      </w:tr>
    </w:tbl>
    <w:p>
      <w:pPr>
        <w:pStyle w:val="Heading1"/>
        <w:spacing w:after="100" w:before="240" w:line="240"/>
      </w:pPr>
      <w:r>
        <w:rPr>
          <w:rFonts w:ascii="Cambria" w:cs="Cambria" w:eastAsia="Cambria" w:hAnsi="Cambria"/>
          <w:b/>
          <w:bCs/>
          <w:color w:val="1B3358"/>
          <w:sz w:val="30"/>
          <w:szCs w:val="30"/>
        </w:rPr>
        <w:t xml:space="preserve">2 · When everything happens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000"/>
        <w:gridCol w:w="7080"/>
      </w:tblGrid>
      <w:tr>
        <w:trPr>
          <w:tblHeader/>
        </w:trPr>
        <w:tc>
          <w:tcPr>
            <w:tcW w:type="dxa" w:w="3000"/>
            <w:tcBorders>
              <w:top w:val="single" w:color="D5DCE6" w:sz="4"/>
              <w:left w:val="single" w:color="D5DCE6" w:sz="4"/>
              <w:bottom w:val="single" w:color="D5DCE6" w:sz="4"/>
              <w:right w:val="single" w:color="D5DCE6" w:sz="4"/>
            </w:tcBorders>
            <w:shd w:fill="1B3358"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9"/>
                <w:szCs w:val="19"/>
              </w:rPr>
              <w:t xml:space="preserve">Item</w:t>
            </w:r>
          </w:p>
        </w:tc>
        <w:tc>
          <w:tcPr>
            <w:tcW w:type="dxa" w:w="7080"/>
            <w:tcBorders>
              <w:top w:val="single" w:color="D5DCE6" w:sz="4"/>
              <w:left w:val="single" w:color="D5DCE6" w:sz="4"/>
              <w:bottom w:val="single" w:color="D5DCE6" w:sz="4"/>
              <w:right w:val="single" w:color="D5DCE6" w:sz="4"/>
            </w:tcBorders>
            <w:shd w:fill="1B3358"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9"/>
                <w:szCs w:val="19"/>
              </w:rPr>
              <w:t xml:space="preserve">Detail</w:t>
            </w:r>
          </w:p>
        </w:tc>
      </w:tr>
      <w:tr>
        <w:trPr>
          <w:cantSplit/>
        </w:trPr>
        <w:tc>
          <w:tcPr>
            <w:tcW w:type="dxa" w:w="300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9"/>
                <w:szCs w:val="19"/>
              </w:rPr>
              <w:t xml:space="preserve">Before session 1</w:t>
            </w:r>
          </w:p>
        </w:tc>
        <w:tc>
          <w:tcPr>
            <w:tcW w:type="dxa" w:w="708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9"/>
                <w:szCs w:val="19"/>
              </w:rPr>
              <w:t>Controls Theory prerequisite (11 topics + 49-question exam, 60% to pass) · Foundations 101–108 as recommended pre-work (essential if you are new to SAP)</w:t>
            </w:r>
          </w:p>
        </w:tc>
      </w:tr>
      <w:tr>
        <w:trPr>
          <w:cantSplit/>
        </w:trPr>
        <w:tc>
          <w:tcPr>
            <w:tcW w:type="dxa" w:w="3000"/>
            <w:tcBorders>
              <w:top w:val="single" w:color="D5DCE6" w:sz="4"/>
              <w:left w:val="single" w:color="D5DCE6" w:sz="4"/>
              <w:bottom w:val="single" w:color="D5DCE6" w:sz="4"/>
              <w:right w:val="single" w:color="D5DCE6" w:sz="4"/>
            </w:tcBorders>
            <w:shd w:fill="F5F8FC" w:color="auto" w:val="clear"/>
            <w:tcMar>
              <w:top w:type="dxa" w:w="60"/>
              <w:left w:type="dxa" w:w="100"/>
              <w:bottom w:type="dxa" w:w="60"/>
              <w:right w:type="dxa" w:w="100"/>
            </w:tcMar>
          </w:tcPr>
          <w:p>
            <w:pPr>
              <w:spacing w:after="0" w:before="0" w:line="240"/>
            </w:pPr>
            <w:r>
              <w:rPr>
                <w:rFonts w:ascii="Calibri" w:cs="Calibri" w:eastAsia="Calibri" w:hAnsi="Calibri"/>
                <w:b w:val="false"/>
                <w:bCs w:val="false"/>
                <w:sz w:val="19"/>
                <w:szCs w:val="19"/>
              </w:rPr>
              <w:t>Two levels</w:t>
            </w:r>
          </w:p>
        </w:tc>
        <w:tc>
          <w:tcPr>
            <w:tcW w:type="dxa" w:w="7080"/>
            <w:tcBorders>
              <w:top w:val="single" w:color="D5DCE6" w:sz="4"/>
              <w:left w:val="single" w:color="D5DCE6" w:sz="4"/>
              <w:bottom w:val="single" w:color="D5DCE6" w:sz="4"/>
              <w:right w:val="single" w:color="D5DCE6" w:sz="4"/>
            </w:tcBorders>
            <w:shd w:fill="F5F8FC" w:color="auto" w:val="clear"/>
            <w:tcMar>
              <w:top w:type="dxa" w:w="60"/>
              <w:left w:type="dxa" w:w="100"/>
              <w:bottom w:type="dxa" w:w="60"/>
              <w:right w:type="dxa" w:w="100"/>
            </w:tcMar>
          </w:tcPr>
          <w:p>
            <w:pPr>
              <w:spacing w:after="0" w:before="0" w:line="240"/>
            </w:pPr>
            <w:r>
              <w:rPr>
                <w:rFonts w:ascii="Calibri" w:cs="Calibri" w:eastAsia="Calibri" w:hAnsi="Calibri"/>
                <w:b w:val="false"/>
                <w:bCs w:val="false"/>
                <w:sz w:val="19"/>
                <w:szCs w:val="19"/>
              </w:rPr>
              <w:t>Intermediate: 16 sessions over 4 weeks · Advanced: 12 sessions over 3 weeks · 2 hours each, Tue · Thu · Sat · Sun</w:t>
            </w:r>
          </w:p>
        </w:tc>
      </w:tr>
      <w:tr>
        <w:trPr>
          <w:cantSplit/>
        </w:trPr>
        <w:tc>
          <w:tcPr>
            <w:tcW w:type="dxa" w:w="300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9"/>
                <w:szCs w:val="19"/>
              </w:rPr>
              <w:t xml:space="preserve">Your time slot (CT)</w:t>
            </w:r>
          </w:p>
        </w:tc>
        <w:tc>
          <w:tcPr>
            <w:tcW w:type="dxa" w:w="708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9"/>
                <w:szCs w:val="19"/>
              </w:rPr>
              <w:t xml:space="preserve">Class 1: 3:30–5:30 PM · Class 2: 6:00–8:00 PM · Class 3: 8:30–10:30 PM — confirmed at enrollment</w:t>
            </w:r>
          </w:p>
        </w:tc>
      </w:tr>
      <w:tr>
        <w:trPr>
          <w:cantSplit/>
        </w:trPr>
        <w:tc>
          <w:tcPr>
            <w:tcW w:type="dxa" w:w="3000"/>
            <w:tcBorders>
              <w:top w:val="single" w:color="D5DCE6" w:sz="4"/>
              <w:left w:val="single" w:color="D5DCE6" w:sz="4"/>
              <w:bottom w:val="single" w:color="D5DCE6" w:sz="4"/>
              <w:right w:val="single" w:color="D5DCE6" w:sz="4"/>
            </w:tcBorders>
            <w:shd w:fill="F5F8FC" w:color="auto" w:val="clear"/>
            <w:tcMar>
              <w:top w:type="dxa" w:w="60"/>
              <w:left w:type="dxa" w:w="100"/>
              <w:bottom w:type="dxa" w:w="60"/>
              <w:right w:type="dxa" w:w="100"/>
            </w:tcMar>
          </w:tcPr>
          <w:p>
            <w:pPr>
              <w:spacing w:after="0" w:before="0" w:line="240"/>
            </w:pPr>
            <w:r>
              <w:rPr>
                <w:rFonts w:ascii="Calibri" w:cs="Calibri" w:eastAsia="Calibri" w:hAnsi="Calibri"/>
                <w:b w:val="false"/>
                <w:bCs w:val="false"/>
                <w:sz w:val="19"/>
                <w:szCs w:val="19"/>
              </w:rPr>
              <w:t xml:space="preserve">Class size</w:t>
            </w:r>
          </w:p>
        </w:tc>
        <w:tc>
          <w:tcPr>
            <w:tcW w:type="dxa" w:w="7080"/>
            <w:tcBorders>
              <w:top w:val="single" w:color="D5DCE6" w:sz="4"/>
              <w:left w:val="single" w:color="D5DCE6" w:sz="4"/>
              <w:bottom w:val="single" w:color="D5DCE6" w:sz="4"/>
              <w:right w:val="single" w:color="D5DCE6" w:sz="4"/>
            </w:tcBorders>
            <w:shd w:fill="F5F8FC" w:color="auto" w:val="clear"/>
            <w:tcMar>
              <w:top w:type="dxa" w:w="60"/>
              <w:left w:type="dxa" w:w="100"/>
              <w:bottom w:type="dxa" w:w="60"/>
              <w:right w:type="dxa" w:w="100"/>
            </w:tcMar>
          </w:tcPr>
          <w:p>
            <w:pPr>
              <w:spacing w:after="0" w:before="0" w:line="240"/>
            </w:pPr>
            <w:r>
              <w:rPr>
                <w:rFonts w:ascii="Calibri" w:cs="Calibri" w:eastAsia="Calibri" w:hAnsi="Calibri"/>
                <w:b w:val="false"/>
                <w:bCs w:val="false"/>
                <w:sz w:val="19"/>
                <w:szCs w:val="19"/>
              </w:rPr>
              <w:t>Up to 10 trainees per slot</w:t>
            </w:r>
          </w:p>
        </w:tc>
      </w:tr>
      <w:tr>
        <w:trPr>
          <w:cantSplit/>
        </w:trPr>
        <w:tc>
          <w:tcPr>
            <w:tcW w:type="dxa" w:w="300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9"/>
                <w:szCs w:val="19"/>
              </w:rPr>
              <w:t>After the course</w:t>
            </w:r>
          </w:p>
        </w:tc>
        <w:tc>
          <w:tcPr>
            <w:tcW w:type="dxa" w:w="708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9"/>
                <w:szCs w:val="19"/>
              </w:rPr>
              <w:t>The 19 Beyond the Core Books, self-paced · SAP access continues for 2 more months</w:t>
            </w:r>
          </w:p>
        </w:tc>
      </w:tr>
      <w:tr>
        <w:trPr>
          <w:cantSplit/>
        </w:trPr>
        <w:tc>
          <w:tcPr>
            <w:tcW w:type="dxa" w:w="300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9"/>
                <w:szCs w:val="19"/>
              </w:rPr>
              <w:t>Self-study option</w:t>
            </w:r>
          </w:p>
        </w:tc>
        <w:tc>
          <w:tcPr>
            <w:tcW w:type="dxa" w:w="708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9"/>
                <w:szCs w:val="19"/>
              </w:rPr>
              <w:t>Follow the same sessions at your own pace using the Trainee User Guide and the Reading Packs. Workpapers, the RCM, the deficiency memo and the panel are still marked by TIB instructors</w:t>
            </w:r>
          </w:p>
        </w:tc>
      </w:tr>
    </w:tbl>
    <w:p>
      <w:pPr>
        <w:pStyle w:val="Heading2"/>
        <w:spacing w:after="80" w:before="180" w:line="240"/>
      </w:pPr>
      <w:r>
        <w:rPr>
          <w:rFonts w:ascii="Cambria" w:cs="Cambria" w:eastAsia="Cambria" w:hAnsi="Cambria"/>
          <w:b/>
          <w:bCs/>
          <w:color w:val="1B3358"/>
          <w:sz w:val="24"/>
          <w:szCs w:val="24"/>
        </w:rPr>
        <w:t>Intermediate — 16 sessions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700"/>
        <w:gridCol w:w="1100"/>
        <w:gridCol w:w="5300"/>
        <w:gridCol w:w="2980"/>
      </w:tblGrid>
      <w:tr>
        <w:trPr>
          <w:tblHeader/>
        </w:trPr>
        <w:tc>
          <w:tcPr>
            <w:tcW w:type="dxa" w:w="700"/>
            <w:tcBorders>
              <w:top w:val="single" w:color="D5DCE6" w:sz="4"/>
              <w:left w:val="single" w:color="D5DCE6" w:sz="4"/>
              <w:bottom w:val="single" w:color="D5DCE6" w:sz="4"/>
              <w:right w:val="single" w:color="D5DCE6" w:sz="4"/>
            </w:tcBorders>
            <w:shd w:fill="1B3358"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8"/>
                <w:szCs w:val="18"/>
              </w:rPr>
              <w:t xml:space="preserve">#</w:t>
            </w:r>
          </w:p>
        </w:tc>
        <w:tc>
          <w:tcPr>
            <w:tcW w:type="dxa" w:w="1100"/>
            <w:tcBorders>
              <w:top w:val="single" w:color="D5DCE6" w:sz="4"/>
              <w:left w:val="single" w:color="D5DCE6" w:sz="4"/>
              <w:bottom w:val="single" w:color="D5DCE6" w:sz="4"/>
              <w:right w:val="single" w:color="D5DCE6" w:sz="4"/>
            </w:tcBorders>
            <w:shd w:fill="1B3358"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8"/>
                <w:szCs w:val="18"/>
              </w:rPr>
              <w:t xml:space="preserve">Week · Day</w:t>
            </w:r>
          </w:p>
        </w:tc>
        <w:tc>
          <w:tcPr>
            <w:tcW w:type="dxa" w:w="5300"/>
            <w:tcBorders>
              <w:top w:val="single" w:color="D5DCE6" w:sz="4"/>
              <w:left w:val="single" w:color="D5DCE6" w:sz="4"/>
              <w:bottom w:val="single" w:color="D5DCE6" w:sz="4"/>
              <w:right w:val="single" w:color="D5DCE6" w:sz="4"/>
            </w:tcBorders>
            <w:shd w:fill="1B3358"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8"/>
                <w:szCs w:val="18"/>
              </w:rPr>
              <w:t xml:space="preserve">Content</w:t>
            </w:r>
          </w:p>
        </w:tc>
        <w:tc>
          <w:tcPr>
            <w:tcW w:type="dxa" w:w="2980"/>
            <w:tcBorders>
              <w:top w:val="single" w:color="D5DCE6" w:sz="4"/>
              <w:left w:val="single" w:color="D5DCE6" w:sz="4"/>
              <w:bottom w:val="single" w:color="D5DCE6" w:sz="4"/>
              <w:right w:val="single" w:color="D5DCE6" w:sz="4"/>
            </w:tcBorders>
            <w:shd w:fill="1B3358"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8"/>
                <w:szCs w:val="18"/>
              </w:rPr>
              <w:t xml:space="preserve">Graded work</w:t>
            </w:r>
          </w:p>
        </w:tc>
      </w:tr>
      <w:tr>
        <w:trPr>
          <w:cantSplit/>
        </w:trPr>
        <w:tc>
          <w:tcPr>
            <w:tcW w:type="dxa" w:w="70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8"/>
                <w:szCs w:val="18"/>
              </w:rPr>
              <w:t>1</w:t>
            </w:r>
          </w:p>
        </w:tc>
        <w:tc>
          <w:tcPr>
            <w:tcW w:type="dxa" w:w="110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8"/>
                <w:szCs w:val="18"/>
              </w:rPr>
              <w:t>Wk 1 · Tue</w:t>
            </w:r>
          </w:p>
        </w:tc>
        <w:tc>
          <w:tcPr>
            <w:tcW w:type="dxa" w:w="530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8"/>
                <w:szCs w:val="18"/>
              </w:rPr>
              <w:t>Kickoff — evidence discipline</w:t>
            </w:r>
          </w:p>
        </w:tc>
        <w:tc>
          <w:tcPr>
            <w:tcW w:type="dxa" w:w="298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8"/>
                <w:szCs w:val="18"/>
              </w:rPr>
              <w:t>Prerequisite exam confirmed</w:t>
            </w:r>
          </w:p>
        </w:tc>
      </w:tr>
      <w:tr>
        <w:trPr>
          <w:cantSplit/>
        </w:trPr>
        <w:tc>
          <w:tcPr>
            <w:tcW w:type="dxa" w:w="70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8"/>
                <w:szCs w:val="18"/>
              </w:rPr>
              <w:t>2</w:t>
            </w:r>
          </w:p>
        </w:tc>
        <w:tc>
          <w:tcPr>
            <w:tcW w:type="dxa" w:w="110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8"/>
                <w:szCs w:val="18"/>
              </w:rPr>
              <w:t>Wk 1 · Thu</w:t>
            </w:r>
          </w:p>
        </w:tc>
        <w:tc>
          <w:tcPr>
            <w:tcW w:type="dxa" w:w="530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8"/>
                <w:szCs w:val="18"/>
              </w:rPr>
              <w:t>Book 1 — The Access List</w:t>
            </w:r>
          </w:p>
        </w:tc>
        <w:tc>
          <w:tcPr>
            <w:tcW w:type="dxa" w:w="298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8"/>
                <w:szCs w:val="18"/>
              </w:rPr>
            </w:r>
          </w:p>
        </w:tc>
      </w:tr>
      <w:tr>
        <w:trPr>
          <w:cantSplit/>
        </w:trPr>
        <w:tc>
          <w:tcPr>
            <w:tcW w:type="dxa" w:w="70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8"/>
                <w:szCs w:val="18"/>
              </w:rPr>
              <w:t>3</w:t>
            </w:r>
          </w:p>
        </w:tc>
        <w:tc>
          <w:tcPr>
            <w:tcW w:type="dxa" w:w="110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8"/>
                <w:szCs w:val="18"/>
              </w:rPr>
              <w:t>Wk 1 · Sat</w:t>
            </w:r>
          </w:p>
        </w:tc>
        <w:tc>
          <w:tcPr>
            <w:tcW w:type="dxa" w:w="530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8"/>
                <w:szCs w:val="18"/>
              </w:rPr>
              <w:t>Book 17 — The Leaver · then guided self-study: Book 4 — The Next Badge</w:t>
            </w:r>
          </w:p>
        </w:tc>
        <w:tc>
          <w:tcPr>
            <w:tcW w:type="dxa" w:w="298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8"/>
                <w:szCs w:val="18"/>
              </w:rPr>
            </w:r>
          </w:p>
        </w:tc>
      </w:tr>
      <w:tr>
        <w:trPr>
          <w:cantSplit/>
        </w:trPr>
        <w:tc>
          <w:tcPr>
            <w:tcW w:type="dxa" w:w="70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8"/>
                <w:szCs w:val="18"/>
              </w:rPr>
              <w:t>4</w:t>
            </w:r>
          </w:p>
        </w:tc>
        <w:tc>
          <w:tcPr>
            <w:tcW w:type="dxa" w:w="110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8"/>
                <w:szCs w:val="18"/>
              </w:rPr>
              <w:t>Wk 1 · Sun</w:t>
            </w:r>
          </w:p>
        </w:tc>
        <w:tc>
          <w:tcPr>
            <w:tcW w:type="dxa" w:w="530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8"/>
                <w:szCs w:val="18"/>
              </w:rPr>
              <w:t>Book 7 — The Fourth Chair</w:t>
            </w:r>
          </w:p>
        </w:tc>
        <w:tc>
          <w:tcPr>
            <w:tcW w:type="dxa" w:w="298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8"/>
                <w:szCs w:val="18"/>
              </w:rPr>
            </w:r>
          </w:p>
        </w:tc>
      </w:tr>
      <w:tr>
        <w:trPr>
          <w:cantSplit/>
        </w:trPr>
        <w:tc>
          <w:tcPr>
            <w:tcW w:type="dxa" w:w="70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8"/>
                <w:szCs w:val="18"/>
              </w:rPr>
              <w:t>5</w:t>
            </w:r>
          </w:p>
        </w:tc>
        <w:tc>
          <w:tcPr>
            <w:tcW w:type="dxa" w:w="110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8"/>
                <w:szCs w:val="18"/>
              </w:rPr>
              <w:t>Wk 2 · Tue</w:t>
            </w:r>
          </w:p>
        </w:tc>
        <w:tc>
          <w:tcPr>
            <w:tcW w:type="dxa" w:w="530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8"/>
                <w:szCs w:val="18"/>
              </w:rPr>
              <w:t>Book 13 — The Tile</w:t>
            </w:r>
          </w:p>
        </w:tc>
        <w:tc>
          <w:tcPr>
            <w:tcW w:type="dxa" w:w="298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8"/>
                <w:szCs w:val="18"/>
              </w:rPr>
            </w:r>
          </w:p>
        </w:tc>
      </w:tr>
      <w:tr>
        <w:trPr>
          <w:cantSplit/>
        </w:trPr>
        <w:tc>
          <w:tcPr>
            <w:tcW w:type="dxa" w:w="70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8"/>
                <w:szCs w:val="18"/>
              </w:rPr>
              <w:t>6</w:t>
            </w:r>
          </w:p>
        </w:tc>
        <w:tc>
          <w:tcPr>
            <w:tcW w:type="dxa" w:w="110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8"/>
                <w:szCs w:val="18"/>
              </w:rPr>
              <w:t>Wk 2 · Thu</w:t>
            </w:r>
          </w:p>
        </w:tc>
        <w:tc>
          <w:tcPr>
            <w:tcW w:type="dxa" w:w="530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8"/>
                <w:szCs w:val="18"/>
              </w:rPr>
              <w:t>Book 16 — The Firefighter Log</w:t>
            </w:r>
          </w:p>
        </w:tc>
        <w:tc>
          <w:tcPr>
            <w:tcW w:type="dxa" w:w="298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8"/>
                <w:szCs w:val="18"/>
              </w:rPr>
              <w:t>Workpaper 1 (Access / SoD) assigned — due 23:59 CT on the day of session 8</w:t>
            </w:r>
          </w:p>
        </w:tc>
      </w:tr>
      <w:tr>
        <w:trPr>
          <w:cantSplit/>
        </w:trPr>
        <w:tc>
          <w:tcPr>
            <w:tcW w:type="dxa" w:w="70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8"/>
                <w:szCs w:val="18"/>
              </w:rPr>
              <w:t>7</w:t>
            </w:r>
          </w:p>
        </w:tc>
        <w:tc>
          <w:tcPr>
            <w:tcW w:type="dxa" w:w="110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8"/>
                <w:szCs w:val="18"/>
              </w:rPr>
              <w:t>Wk 2 · Sat</w:t>
            </w:r>
          </w:p>
        </w:tc>
        <w:tc>
          <w:tcPr>
            <w:tcW w:type="dxa" w:w="530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8"/>
                <w:szCs w:val="18"/>
              </w:rPr>
              <w:t>Book 2 — The Emergency Change</w:t>
            </w:r>
          </w:p>
        </w:tc>
        <w:tc>
          <w:tcPr>
            <w:tcW w:type="dxa" w:w="298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8"/>
                <w:szCs w:val="18"/>
              </w:rPr>
            </w:r>
          </w:p>
        </w:tc>
      </w:tr>
      <w:tr>
        <w:trPr>
          <w:cantSplit/>
        </w:trPr>
        <w:tc>
          <w:tcPr>
            <w:tcW w:type="dxa" w:w="70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8"/>
                <w:szCs w:val="18"/>
              </w:rPr>
              <w:t>8</w:t>
            </w:r>
          </w:p>
        </w:tc>
        <w:tc>
          <w:tcPr>
            <w:tcW w:type="dxa" w:w="110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8"/>
                <w:szCs w:val="18"/>
              </w:rPr>
              <w:t>Wk 2 · Sun</w:t>
            </w:r>
          </w:p>
        </w:tc>
        <w:tc>
          <w:tcPr>
            <w:tcW w:type="dxa" w:w="530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8"/>
                <w:szCs w:val="18"/>
              </w:rPr>
              <w:t>Book 20 — The Back Door · then guided self-study: Book 18 — The Untested Backup</w:t>
            </w:r>
          </w:p>
        </w:tc>
        <w:tc>
          <w:tcPr>
            <w:tcW w:type="dxa" w:w="298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8"/>
                <w:szCs w:val="18"/>
              </w:rPr>
            </w:r>
          </w:p>
        </w:tc>
      </w:tr>
      <w:tr>
        <w:trPr>
          <w:cantSplit/>
        </w:trPr>
        <w:tc>
          <w:tcPr>
            <w:tcW w:type="dxa" w:w="70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8"/>
                <w:szCs w:val="18"/>
              </w:rPr>
              <w:t>9</w:t>
            </w:r>
          </w:p>
        </w:tc>
        <w:tc>
          <w:tcPr>
            <w:tcW w:type="dxa" w:w="110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8"/>
                <w:szCs w:val="18"/>
              </w:rPr>
              <w:t>Wk 3 · Tue</w:t>
            </w:r>
          </w:p>
        </w:tc>
        <w:tc>
          <w:tcPr>
            <w:tcW w:type="dxa" w:w="530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8"/>
                <w:szCs w:val="18"/>
              </w:rPr>
              <w:t>Book 19 — The Interface Gap</w:t>
            </w:r>
          </w:p>
        </w:tc>
        <w:tc>
          <w:tcPr>
            <w:tcW w:type="dxa" w:w="298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8"/>
                <w:szCs w:val="18"/>
              </w:rPr>
              <w:t>Workpaper 2 (Change &amp; Operations) assigned — due 23:59 CT on the day of session 12 · Workpaper 1 returned marked</w:t>
            </w:r>
          </w:p>
        </w:tc>
      </w:tr>
      <w:tr>
        <w:trPr>
          <w:cantSplit/>
        </w:trPr>
        <w:tc>
          <w:tcPr>
            <w:tcW w:type="dxa" w:w="70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8"/>
                <w:szCs w:val="18"/>
              </w:rPr>
              <w:t>10</w:t>
            </w:r>
          </w:p>
        </w:tc>
        <w:tc>
          <w:tcPr>
            <w:tcW w:type="dxa" w:w="110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8"/>
                <w:szCs w:val="18"/>
              </w:rPr>
              <w:t>Wk 3 · Thu</w:t>
            </w:r>
          </w:p>
        </w:tc>
        <w:tc>
          <w:tcPr>
            <w:tcW w:type="dxa" w:w="530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8"/>
                <w:szCs w:val="18"/>
              </w:rPr>
              <w:t>Book 14 — The Rule That Never Fired · then guided self-study: Book 23 — The Job That Stopped Running</w:t>
            </w:r>
          </w:p>
        </w:tc>
        <w:tc>
          <w:tcPr>
            <w:tcW w:type="dxa" w:w="298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8"/>
                <w:szCs w:val="18"/>
              </w:rPr>
            </w:r>
          </w:p>
        </w:tc>
      </w:tr>
      <w:tr>
        <w:trPr>
          <w:cantSplit/>
        </w:trPr>
        <w:tc>
          <w:tcPr>
            <w:tcW w:type="dxa" w:w="70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8"/>
                <w:szCs w:val="18"/>
              </w:rPr>
              <w:t>11</w:t>
            </w:r>
          </w:p>
        </w:tc>
        <w:tc>
          <w:tcPr>
            <w:tcW w:type="dxa" w:w="110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8"/>
                <w:szCs w:val="18"/>
              </w:rPr>
              <w:t>Wk 3 · Sat</w:t>
            </w:r>
          </w:p>
        </w:tc>
        <w:tc>
          <w:tcPr>
            <w:tcW w:type="dxa" w:w="530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8"/>
                <w:szCs w:val="18"/>
              </w:rPr>
              <w:t>Book 3 — The Approval Limit</w:t>
            </w:r>
          </w:p>
        </w:tc>
        <w:tc>
          <w:tcPr>
            <w:tcW w:type="dxa" w:w="298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8"/>
                <w:szCs w:val="18"/>
              </w:rPr>
            </w:r>
          </w:p>
        </w:tc>
      </w:tr>
      <w:tr>
        <w:trPr>
          <w:cantSplit/>
        </w:trPr>
        <w:tc>
          <w:tcPr>
            <w:tcW w:type="dxa" w:w="70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8"/>
                <w:szCs w:val="18"/>
              </w:rPr>
              <w:t>12</w:t>
            </w:r>
          </w:p>
        </w:tc>
        <w:tc>
          <w:tcPr>
            <w:tcW w:type="dxa" w:w="110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8"/>
                <w:szCs w:val="18"/>
              </w:rPr>
              <w:t>Wk 3 · Sun</w:t>
            </w:r>
          </w:p>
        </w:tc>
        <w:tc>
          <w:tcPr>
            <w:tcW w:type="dxa" w:w="530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8"/>
                <w:szCs w:val="18"/>
              </w:rPr>
              <w:t>Book 24 — The Match That Wasn't</w:t>
            </w:r>
          </w:p>
        </w:tc>
        <w:tc>
          <w:tcPr>
            <w:tcW w:type="dxa" w:w="298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8"/>
                <w:szCs w:val="18"/>
              </w:rPr>
            </w:r>
          </w:p>
        </w:tc>
      </w:tr>
      <w:tr>
        <w:trPr>
          <w:cantSplit/>
        </w:trPr>
        <w:tc>
          <w:tcPr>
            <w:tcW w:type="dxa" w:w="70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8"/>
                <w:szCs w:val="18"/>
              </w:rPr>
              <w:t>13</w:t>
            </w:r>
          </w:p>
        </w:tc>
        <w:tc>
          <w:tcPr>
            <w:tcW w:type="dxa" w:w="110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8"/>
                <w:szCs w:val="18"/>
              </w:rPr>
              <w:t>Wk 4 · Tue</w:t>
            </w:r>
          </w:p>
        </w:tc>
        <w:tc>
          <w:tcPr>
            <w:tcW w:type="dxa" w:w="530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8"/>
                <w:szCs w:val="18"/>
              </w:rPr>
              <w:t>Book 25 — The File That Left Twice</w:t>
            </w:r>
          </w:p>
        </w:tc>
        <w:tc>
          <w:tcPr>
            <w:tcW w:type="dxa" w:w="298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8"/>
                <w:szCs w:val="18"/>
              </w:rPr>
              <w:t>Workpaper 3 (ITAC — P2P / OTC) assigned — due 23:59 CT on the day of session 15 · Workpaper 2 returned marked</w:t>
            </w:r>
          </w:p>
        </w:tc>
      </w:tr>
      <w:tr>
        <w:trPr>
          <w:cantSplit/>
        </w:trPr>
        <w:tc>
          <w:tcPr>
            <w:tcW w:type="dxa" w:w="70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8"/>
                <w:szCs w:val="18"/>
              </w:rPr>
              <w:t>14</w:t>
            </w:r>
          </w:p>
        </w:tc>
        <w:tc>
          <w:tcPr>
            <w:tcW w:type="dxa" w:w="110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8"/>
                <w:szCs w:val="18"/>
              </w:rPr>
              <w:t>Wk 4 · Thu</w:t>
            </w:r>
          </w:p>
        </w:tc>
        <w:tc>
          <w:tcPr>
            <w:tcW w:type="dxa" w:w="530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8"/>
                <w:szCs w:val="18"/>
              </w:rPr>
              <w:t>Book 26 — The Bank Detail Nobody Approved · then guided self-study: Book 27 — The Tolerance That Swallowed It</w:t>
            </w:r>
          </w:p>
        </w:tc>
        <w:tc>
          <w:tcPr>
            <w:tcW w:type="dxa" w:w="298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8"/>
                <w:szCs w:val="18"/>
              </w:rPr>
            </w:r>
          </w:p>
        </w:tc>
      </w:tr>
      <w:tr>
        <w:trPr>
          <w:cantSplit/>
        </w:trPr>
        <w:tc>
          <w:tcPr>
            <w:tcW w:type="dxa" w:w="70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8"/>
                <w:szCs w:val="18"/>
              </w:rPr>
              <w:t>15</w:t>
            </w:r>
          </w:p>
        </w:tc>
        <w:tc>
          <w:tcPr>
            <w:tcW w:type="dxa" w:w="110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8"/>
                <w:szCs w:val="18"/>
              </w:rPr>
              <w:t>Wk 4 · Sat</w:t>
            </w:r>
          </w:p>
        </w:tc>
        <w:tc>
          <w:tcPr>
            <w:tcW w:type="dxa" w:w="530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8"/>
                <w:szCs w:val="18"/>
              </w:rPr>
              <w:t>Book 29 — The Held Order</w:t>
            </w:r>
          </w:p>
        </w:tc>
        <w:tc>
          <w:tcPr>
            <w:tcW w:type="dxa" w:w="298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8"/>
                <w:szCs w:val="18"/>
              </w:rPr>
            </w:r>
          </w:p>
        </w:tc>
      </w:tr>
      <w:tr>
        <w:trPr>
          <w:cantSplit/>
        </w:trPr>
        <w:tc>
          <w:tcPr>
            <w:tcW w:type="dxa" w:w="70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8"/>
                <w:szCs w:val="18"/>
              </w:rPr>
              <w:t>16</w:t>
            </w:r>
          </w:p>
        </w:tc>
        <w:tc>
          <w:tcPr>
            <w:tcW w:type="dxa" w:w="110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8"/>
                <w:szCs w:val="18"/>
              </w:rPr>
              <w:t>Wk 4 · Sun</w:t>
            </w:r>
          </w:p>
        </w:tc>
        <w:tc>
          <w:tcPr>
            <w:tcW w:type="dxa" w:w="530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8"/>
                <w:szCs w:val="18"/>
              </w:rPr>
              <w:t>Book 30 — The Early Invoice</w:t>
            </w:r>
          </w:p>
        </w:tc>
        <w:tc>
          <w:tcPr>
            <w:tcW w:type="dxa" w:w="298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8"/>
                <w:szCs w:val="18"/>
              </w:rPr>
              <w:t>Workpaper 3 already in (due 23:59 CT on session 15 day) · returned marked within a week · Intermediate certificate</w:t>
            </w:r>
          </w:p>
        </w:tc>
      </w:tr>
    </w:tbl>
    <w:p>
      <w:pPr>
        <w:pStyle w:val="Heading2"/>
        <w:spacing w:after="80" w:before="180" w:line="240"/>
      </w:pPr>
      <w:r>
        <w:rPr>
          <w:rFonts w:ascii="Cambria" w:cs="Cambria" w:eastAsia="Cambria" w:hAnsi="Cambria"/>
          <w:b/>
          <w:bCs/>
          <w:color w:val="1B3358"/>
          <w:sz w:val="24"/>
          <w:szCs w:val="24"/>
        </w:rPr>
        <w:t>Advanced — 12 sessions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700"/>
        <w:gridCol w:w="1100"/>
        <w:gridCol w:w="5300"/>
        <w:gridCol w:w="2980"/>
      </w:tblGrid>
      <w:tr>
        <w:trPr>
          <w:tblHeader/>
        </w:trPr>
        <w:tc>
          <w:tcPr>
            <w:tcW w:type="dxa" w:w="700"/>
            <w:tcBorders>
              <w:top w:val="single" w:color="D5DCE6" w:sz="4"/>
              <w:left w:val="single" w:color="D5DCE6" w:sz="4"/>
              <w:bottom w:val="single" w:color="D5DCE6" w:sz="4"/>
              <w:right w:val="single" w:color="D5DCE6" w:sz="4"/>
            </w:tcBorders>
            <w:shd w:fill="1B3358"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8"/>
                <w:szCs w:val="18"/>
              </w:rPr>
              <w:t xml:space="preserve">#</w:t>
            </w:r>
          </w:p>
        </w:tc>
        <w:tc>
          <w:tcPr>
            <w:tcW w:type="dxa" w:w="1100"/>
            <w:tcBorders>
              <w:top w:val="single" w:color="D5DCE6" w:sz="4"/>
              <w:left w:val="single" w:color="D5DCE6" w:sz="4"/>
              <w:bottom w:val="single" w:color="D5DCE6" w:sz="4"/>
              <w:right w:val="single" w:color="D5DCE6" w:sz="4"/>
            </w:tcBorders>
            <w:shd w:fill="1B3358"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8"/>
                <w:szCs w:val="18"/>
              </w:rPr>
              <w:t xml:space="preserve">Week · Day</w:t>
            </w:r>
          </w:p>
        </w:tc>
        <w:tc>
          <w:tcPr>
            <w:tcW w:type="dxa" w:w="5300"/>
            <w:tcBorders>
              <w:top w:val="single" w:color="D5DCE6" w:sz="4"/>
              <w:left w:val="single" w:color="D5DCE6" w:sz="4"/>
              <w:bottom w:val="single" w:color="D5DCE6" w:sz="4"/>
              <w:right w:val="single" w:color="D5DCE6" w:sz="4"/>
            </w:tcBorders>
            <w:shd w:fill="1B3358"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8"/>
                <w:szCs w:val="18"/>
              </w:rPr>
              <w:t xml:space="preserve">Content</w:t>
            </w:r>
          </w:p>
        </w:tc>
        <w:tc>
          <w:tcPr>
            <w:tcW w:type="dxa" w:w="2980"/>
            <w:tcBorders>
              <w:top w:val="single" w:color="D5DCE6" w:sz="4"/>
              <w:left w:val="single" w:color="D5DCE6" w:sz="4"/>
              <w:bottom w:val="single" w:color="D5DCE6" w:sz="4"/>
              <w:right w:val="single" w:color="D5DCE6" w:sz="4"/>
            </w:tcBorders>
            <w:shd w:fill="1B3358"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8"/>
                <w:szCs w:val="18"/>
              </w:rPr>
              <w:t xml:space="preserve">Graded work</w:t>
            </w:r>
          </w:p>
        </w:tc>
      </w:tr>
      <w:tr>
        <w:trPr>
          <w:cantSplit/>
        </w:trPr>
        <w:tc>
          <w:tcPr>
            <w:tcW w:type="dxa" w:w="70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8"/>
                <w:szCs w:val="18"/>
              </w:rPr>
              <w:t>1</w:t>
            </w:r>
          </w:p>
        </w:tc>
        <w:tc>
          <w:tcPr>
            <w:tcW w:type="dxa" w:w="110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8"/>
                <w:szCs w:val="18"/>
              </w:rPr>
              <w:t>Wk 1 · Tue</w:t>
            </w:r>
          </w:p>
        </w:tc>
        <w:tc>
          <w:tcPr>
            <w:tcW w:type="dxa" w:w="530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8"/>
                <w:szCs w:val="18"/>
              </w:rPr>
              <w:t>Bridge — entry check</w:t>
            </w:r>
          </w:p>
        </w:tc>
        <w:tc>
          <w:tcPr>
            <w:tcW w:type="dxa" w:w="298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8"/>
                <w:szCs w:val="18"/>
              </w:rPr>
              <w:t>Entry check (Intermediate certificate or experience review)</w:t>
            </w:r>
          </w:p>
        </w:tc>
      </w:tr>
      <w:tr>
        <w:trPr>
          <w:cantSplit/>
        </w:trPr>
        <w:tc>
          <w:tcPr>
            <w:tcW w:type="dxa" w:w="70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8"/>
                <w:szCs w:val="18"/>
              </w:rPr>
              <w:t>2</w:t>
            </w:r>
          </w:p>
        </w:tc>
        <w:tc>
          <w:tcPr>
            <w:tcW w:type="dxa" w:w="110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8"/>
                <w:szCs w:val="18"/>
              </w:rPr>
              <w:t>Wk 1 · Thu</w:t>
            </w:r>
          </w:p>
        </w:tc>
        <w:tc>
          <w:tcPr>
            <w:tcW w:type="dxa" w:w="530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8"/>
                <w:szCs w:val="18"/>
              </w:rPr>
              <w:t>Book 36 — The Map Before the Testing</w:t>
            </w:r>
          </w:p>
        </w:tc>
        <w:tc>
          <w:tcPr>
            <w:tcW w:type="dxa" w:w="298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8"/>
                <w:szCs w:val="18"/>
              </w:rPr>
            </w:r>
          </w:p>
        </w:tc>
      </w:tr>
      <w:tr>
        <w:trPr>
          <w:cantSplit/>
        </w:trPr>
        <w:tc>
          <w:tcPr>
            <w:tcW w:type="dxa" w:w="70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8"/>
                <w:szCs w:val="18"/>
              </w:rPr>
              <w:t>3</w:t>
            </w:r>
          </w:p>
        </w:tc>
        <w:tc>
          <w:tcPr>
            <w:tcW w:type="dxa" w:w="110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8"/>
                <w:szCs w:val="18"/>
              </w:rPr>
              <w:t>Wk 1 · Sat</w:t>
            </w:r>
          </w:p>
        </w:tc>
        <w:tc>
          <w:tcPr>
            <w:tcW w:type="dxa" w:w="530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8"/>
                <w:szCs w:val="18"/>
              </w:rPr>
              <w:t>RCM workshop — finish the Thornfield RCM</w:t>
            </w:r>
          </w:p>
        </w:tc>
        <w:tc>
          <w:tcPr>
            <w:tcW w:type="dxa" w:w="298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8"/>
                <w:szCs w:val="18"/>
              </w:rPr>
              <w:t>Thornfield RCM marked</w:t>
            </w:r>
          </w:p>
        </w:tc>
      </w:tr>
      <w:tr>
        <w:trPr>
          <w:cantSplit/>
        </w:trPr>
        <w:tc>
          <w:tcPr>
            <w:tcW w:type="dxa" w:w="70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8"/>
                <w:szCs w:val="18"/>
              </w:rPr>
              <w:t>4</w:t>
            </w:r>
          </w:p>
        </w:tc>
        <w:tc>
          <w:tcPr>
            <w:tcW w:type="dxa" w:w="110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8"/>
                <w:szCs w:val="18"/>
              </w:rPr>
              <w:t>Wk 1 · Sun</w:t>
            </w:r>
          </w:p>
        </w:tc>
        <w:tc>
          <w:tcPr>
            <w:tcW w:type="dxa" w:w="530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8"/>
                <w:szCs w:val="18"/>
              </w:rPr>
              <w:t>Book 37 — The Control That Was Never Built to Hold</w:t>
            </w:r>
          </w:p>
        </w:tc>
        <w:tc>
          <w:tcPr>
            <w:tcW w:type="dxa" w:w="298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8"/>
                <w:szCs w:val="18"/>
              </w:rPr>
            </w:r>
          </w:p>
        </w:tc>
      </w:tr>
      <w:tr>
        <w:trPr>
          <w:cantSplit/>
        </w:trPr>
        <w:tc>
          <w:tcPr>
            <w:tcW w:type="dxa" w:w="70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8"/>
                <w:szCs w:val="18"/>
              </w:rPr>
              <w:t>5</w:t>
            </w:r>
          </w:p>
        </w:tc>
        <w:tc>
          <w:tcPr>
            <w:tcW w:type="dxa" w:w="110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8"/>
                <w:szCs w:val="18"/>
              </w:rPr>
              <w:t>Wk 2 · Tue</w:t>
            </w:r>
          </w:p>
        </w:tc>
        <w:tc>
          <w:tcPr>
            <w:tcW w:type="dxa" w:w="530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8"/>
                <w:szCs w:val="18"/>
              </w:rPr>
              <w:t>Book 38 — How Many Is Enough</w:t>
            </w:r>
          </w:p>
        </w:tc>
        <w:tc>
          <w:tcPr>
            <w:tcW w:type="dxa" w:w="298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8"/>
                <w:szCs w:val="18"/>
              </w:rPr>
            </w:r>
          </w:p>
        </w:tc>
      </w:tr>
      <w:tr>
        <w:trPr>
          <w:cantSplit/>
        </w:trPr>
        <w:tc>
          <w:tcPr>
            <w:tcW w:type="dxa" w:w="70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8"/>
                <w:szCs w:val="18"/>
              </w:rPr>
              <w:t>6</w:t>
            </w:r>
          </w:p>
        </w:tc>
        <w:tc>
          <w:tcPr>
            <w:tcW w:type="dxa" w:w="110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8"/>
                <w:szCs w:val="18"/>
              </w:rPr>
              <w:t>Wk 2 · Thu</w:t>
            </w:r>
          </w:p>
        </w:tc>
        <w:tc>
          <w:tcPr>
            <w:tcW w:type="dxa" w:w="530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8"/>
                <w:szCs w:val="18"/>
              </w:rPr>
              <w:t>Book 39 — What Kind of Finding Is This</w:t>
            </w:r>
          </w:p>
        </w:tc>
        <w:tc>
          <w:tcPr>
            <w:tcW w:type="dxa" w:w="298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8"/>
                <w:szCs w:val="18"/>
              </w:rPr>
              <w:t>Deficiency memo assigned — due 23:59 CT on the day of session 10</w:t>
            </w:r>
          </w:p>
        </w:tc>
      </w:tr>
      <w:tr>
        <w:trPr>
          <w:cantSplit/>
        </w:trPr>
        <w:tc>
          <w:tcPr>
            <w:tcW w:type="dxa" w:w="70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8"/>
                <w:szCs w:val="18"/>
              </w:rPr>
              <w:t>7</w:t>
            </w:r>
          </w:p>
        </w:tc>
        <w:tc>
          <w:tcPr>
            <w:tcW w:type="dxa" w:w="110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8"/>
                <w:szCs w:val="18"/>
              </w:rPr>
              <w:t>Wk 2 · Sat</w:t>
            </w:r>
          </w:p>
        </w:tc>
        <w:tc>
          <w:tcPr>
            <w:tcW w:type="dxa" w:w="530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8"/>
                <w:szCs w:val="18"/>
              </w:rPr>
              <w:t>Book 33 — The Other Platform</w:t>
            </w:r>
          </w:p>
        </w:tc>
        <w:tc>
          <w:tcPr>
            <w:tcW w:type="dxa" w:w="298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8"/>
                <w:szCs w:val="18"/>
              </w:rPr>
            </w:r>
          </w:p>
        </w:tc>
      </w:tr>
      <w:tr>
        <w:trPr>
          <w:cantSplit/>
        </w:trPr>
        <w:tc>
          <w:tcPr>
            <w:tcW w:type="dxa" w:w="70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8"/>
                <w:szCs w:val="18"/>
              </w:rPr>
              <w:t>8</w:t>
            </w:r>
          </w:p>
        </w:tc>
        <w:tc>
          <w:tcPr>
            <w:tcW w:type="dxa" w:w="110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8"/>
                <w:szCs w:val="18"/>
              </w:rPr>
              <w:t>Wk 2 · Sun</w:t>
            </w:r>
          </w:p>
        </w:tc>
        <w:tc>
          <w:tcPr>
            <w:tcW w:type="dxa" w:w="530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8"/>
                <w:szCs w:val="18"/>
              </w:rPr>
              <w:t>Book 34 — The Spreadsheet That Found It</w:t>
            </w:r>
          </w:p>
        </w:tc>
        <w:tc>
          <w:tcPr>
            <w:tcW w:type="dxa" w:w="298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8"/>
                <w:szCs w:val="18"/>
              </w:rPr>
            </w:r>
          </w:p>
        </w:tc>
      </w:tr>
      <w:tr>
        <w:trPr>
          <w:cantSplit/>
        </w:trPr>
        <w:tc>
          <w:tcPr>
            <w:tcW w:type="dxa" w:w="70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8"/>
                <w:szCs w:val="18"/>
              </w:rPr>
              <w:t>9</w:t>
            </w:r>
          </w:p>
        </w:tc>
        <w:tc>
          <w:tcPr>
            <w:tcW w:type="dxa" w:w="110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8"/>
                <w:szCs w:val="18"/>
              </w:rPr>
              <w:t>Wk 3 · Tue</w:t>
            </w:r>
          </w:p>
        </w:tc>
        <w:tc>
          <w:tcPr>
            <w:tcW w:type="dxa" w:w="530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8"/>
                <w:szCs w:val="18"/>
              </w:rPr>
              <w:t>Book 35 — The Recommendation Nobody Checked</w:t>
            </w:r>
          </w:p>
        </w:tc>
        <w:tc>
          <w:tcPr>
            <w:tcW w:type="dxa" w:w="298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8"/>
                <w:szCs w:val="18"/>
              </w:rPr>
            </w:r>
          </w:p>
        </w:tc>
      </w:tr>
      <w:tr>
        <w:trPr>
          <w:cantSplit/>
        </w:trPr>
        <w:tc>
          <w:tcPr>
            <w:tcW w:type="dxa" w:w="70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8"/>
                <w:szCs w:val="18"/>
              </w:rPr>
              <w:t>10</w:t>
            </w:r>
          </w:p>
        </w:tc>
        <w:tc>
          <w:tcPr>
            <w:tcW w:type="dxa" w:w="110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8"/>
                <w:szCs w:val="18"/>
              </w:rPr>
              <w:t>Wk 3 · Thu</w:t>
            </w:r>
          </w:p>
        </w:tc>
        <w:tc>
          <w:tcPr>
            <w:tcW w:type="dxa" w:w="530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8"/>
                <w:szCs w:val="18"/>
              </w:rPr>
              <w:t>Book 40 — The Control That Moved</w:t>
            </w:r>
          </w:p>
        </w:tc>
        <w:tc>
          <w:tcPr>
            <w:tcW w:type="dxa" w:w="298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8"/>
                <w:szCs w:val="18"/>
              </w:rPr>
            </w:r>
          </w:p>
        </w:tc>
      </w:tr>
      <w:tr>
        <w:trPr>
          <w:cantSplit/>
        </w:trPr>
        <w:tc>
          <w:tcPr>
            <w:tcW w:type="dxa" w:w="70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8"/>
                <w:szCs w:val="18"/>
              </w:rPr>
              <w:t>11</w:t>
            </w:r>
          </w:p>
        </w:tc>
        <w:tc>
          <w:tcPr>
            <w:tcW w:type="dxa" w:w="110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8"/>
                <w:szCs w:val="18"/>
              </w:rPr>
              <w:t>Wk 3 · Sat</w:t>
            </w:r>
          </w:p>
        </w:tc>
        <w:tc>
          <w:tcPr>
            <w:tcW w:type="dxa" w:w="530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8"/>
                <w:szCs w:val="18"/>
              </w:rPr>
              <w:t>Capstone — severity rating and Audit Committee readout preparation</w:t>
            </w:r>
          </w:p>
        </w:tc>
        <w:tc>
          <w:tcPr>
            <w:tcW w:type="dxa" w:w="298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8"/>
                <w:szCs w:val="18"/>
              </w:rPr>
              <w:t>Deficiency memo marked</w:t>
            </w:r>
          </w:p>
        </w:tc>
      </w:tr>
      <w:tr>
        <w:trPr>
          <w:cantSplit/>
        </w:trPr>
        <w:tc>
          <w:tcPr>
            <w:tcW w:type="dxa" w:w="70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8"/>
                <w:szCs w:val="18"/>
              </w:rPr>
              <w:t>12</w:t>
            </w:r>
          </w:p>
        </w:tc>
        <w:tc>
          <w:tcPr>
            <w:tcW w:type="dxa" w:w="110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8"/>
                <w:szCs w:val="18"/>
              </w:rPr>
              <w:t>Wk 3 · Sun</w:t>
            </w:r>
          </w:p>
        </w:tc>
        <w:tc>
          <w:tcPr>
            <w:tcW w:type="dxa" w:w="530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8"/>
                <w:szCs w:val="18"/>
              </w:rPr>
              <w:t>Stakeholder panel — one finding to an auditor</w:t>
            </w:r>
          </w:p>
        </w:tc>
        <w:tc>
          <w:tcPr>
            <w:tcW w:type="dxa" w:w="298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8"/>
                <w:szCs w:val="18"/>
              </w:rPr>
              <w:t>Panel graded · Advanced certificate</w:t>
            </w:r>
          </w:p>
        </w:tc>
      </w:tr>
    </w:tbl>
    <w:p>
      <w:pPr>
        <w:spacing w:after="60" w:before="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5F8FC" w:sz="4"/>
              <w:left w:val="single" w:color="8F5D18" w:sz="24"/>
              <w:bottom w:val="single" w:color="F5F8FC" w:sz="4"/>
              <w:right w:val="single" w:color="F5F8FC" w:sz="4"/>
            </w:tcBorders>
            <w:shd w:fill="F5F8FC" w:color="auto" w:val="clear"/>
            <w:tcMar>
              <w:top w:type="dxa" w:w="100"/>
              <w:left w:type="dxa" w:w="160"/>
              <w:bottom w:type="dxa" w:w="100"/>
              <w:right w:type="dxa" w:w="160"/>
            </w:tcMar>
          </w:tcPr>
          <w:p>
            <w:pPr>
              <w:spacing w:after="40" w:line="240"/>
            </w:pPr>
            <w:r>
              <w:rPr>
                <w:rFonts w:ascii="Calibri" w:cs="Calibri" w:eastAsia="Calibri" w:hAnsi="Calibri"/>
                <w:b/>
                <w:bCs/>
                <w:color w:val="8F5D18"/>
                <w:sz w:val="20"/>
                <w:szCs w:val="20"/>
              </w:rPr>
              <w:t xml:space="preserve">THE ONE THING TO DO THE DAY YOUR SAP ACCESS ARRIVES</w:t>
            </w:r>
          </w:p>
          <w:p>
            <w:pPr>
              <w:spacing w:after="30" w:line="240"/>
            </w:pPr>
            <w:r>
              <w:rPr>
                <w:rFonts w:ascii="Calibri" w:cs="Calibri" w:eastAsia="Calibri" w:hAnsi="Calibri"/>
                <w:sz w:val="20"/>
                <w:szCs w:val="20"/>
              </w:rPr>
              <w:t xml:space="preserve">Test your SAP login that day. If it does not work, say so immediately — nobody can fix it mid-session, and you lose hands-on time.</w:t>
            </w:r>
          </w:p>
        </w:tc>
      </w:tr>
    </w:tbl>
    <w:p>
      <w:pPr>
        <w:pStyle w:val="Heading1"/>
        <w:spacing w:after="100" w:before="240" w:line="240"/>
      </w:pPr>
      <w:r>
        <w:rPr>
          <w:rFonts w:ascii="Cambria" w:cs="Cambria" w:eastAsia="Cambria" w:hAnsi="Cambria"/>
          <w:b/>
          <w:bCs/>
          <w:color w:val="1B3358"/>
          <w:sz w:val="30"/>
          <w:szCs w:val="30"/>
        </w:rPr>
        <w:t xml:space="preserve">3 · The tools you will use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000"/>
        <w:gridCol w:w="4600"/>
        <w:gridCol w:w="2480"/>
      </w:tblGrid>
      <w:tr>
        <w:trPr>
          <w:tblHeader/>
        </w:trPr>
        <w:tc>
          <w:tcPr>
            <w:tcW w:type="dxa" w:w="3000"/>
            <w:tcBorders>
              <w:top w:val="single" w:color="D5DCE6" w:sz="4"/>
              <w:left w:val="single" w:color="D5DCE6" w:sz="4"/>
              <w:bottom w:val="single" w:color="D5DCE6" w:sz="4"/>
              <w:right w:val="single" w:color="D5DCE6" w:sz="4"/>
            </w:tcBorders>
            <w:shd w:fill="1B3358"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9"/>
                <w:szCs w:val="19"/>
              </w:rPr>
              <w:t xml:space="preserve">Tool</w:t>
            </w:r>
          </w:p>
        </w:tc>
        <w:tc>
          <w:tcPr>
            <w:tcW w:type="dxa" w:w="4600"/>
            <w:tcBorders>
              <w:top w:val="single" w:color="D5DCE6" w:sz="4"/>
              <w:left w:val="single" w:color="D5DCE6" w:sz="4"/>
              <w:bottom w:val="single" w:color="D5DCE6" w:sz="4"/>
              <w:right w:val="single" w:color="D5DCE6" w:sz="4"/>
            </w:tcBorders>
            <w:shd w:fill="1B3358"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9"/>
                <w:szCs w:val="19"/>
              </w:rPr>
              <w:t xml:space="preserve">What it is</w:t>
            </w:r>
          </w:p>
        </w:tc>
        <w:tc>
          <w:tcPr>
            <w:tcW w:type="dxa" w:w="2480"/>
            <w:tcBorders>
              <w:top w:val="single" w:color="D5DCE6" w:sz="4"/>
              <w:left w:val="single" w:color="D5DCE6" w:sz="4"/>
              <w:bottom w:val="single" w:color="D5DCE6" w:sz="4"/>
              <w:right w:val="single" w:color="D5DCE6" w:sz="4"/>
            </w:tcBorders>
            <w:shd w:fill="1B3358"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9"/>
                <w:szCs w:val="19"/>
              </w:rPr>
              <w:t xml:space="preserve">When</w:t>
            </w:r>
          </w:p>
        </w:tc>
      </w:tr>
      <w:tr>
        <w:trPr>
          <w:cantSplit/>
        </w:trPr>
        <w:tc>
          <w:tcPr>
            <w:tcW w:type="dxa" w:w="300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9"/>
                <w:szCs w:val="19"/>
              </w:rPr>
              <w:t xml:space="preserve">The course app</w:t>
            </w:r>
          </w:p>
        </w:tc>
        <w:tc>
          <w:tcPr>
            <w:tcW w:type="dxa" w:w="460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9"/>
                <w:szCs w:val="19"/>
              </w:rPr>
              <w:t>sox-live-job-testing.vercel.app — all 46 Books, each with the exact screens, T-codes and a completed workpaper exhibit. Open the menu on By session to follow the course in order; ▶ Next takes you to the next session's Book. Each Book is tagged Intermediate, Advanced or Beyond the Core</w:t>
            </w:r>
          </w:p>
        </w:tc>
        <w:tc>
          <w:tcPr>
            <w:tcW w:type="dxa" w:w="248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9"/>
                <w:szCs w:val="19"/>
              </w:rPr>
              <w:t xml:space="preserve">Every session and after</w:t>
            </w:r>
          </w:p>
        </w:tc>
      </w:tr>
      <w:tr>
        <w:trPr>
          <w:cantSplit/>
        </w:trPr>
        <w:tc>
          <w:tcPr>
            <w:tcW w:type="dxa" w:w="3000"/>
            <w:tcBorders>
              <w:top w:val="single" w:color="D5DCE6" w:sz="4"/>
              <w:left w:val="single" w:color="D5DCE6" w:sz="4"/>
              <w:bottom w:val="single" w:color="D5DCE6" w:sz="4"/>
              <w:right w:val="single" w:color="D5DCE6" w:sz="4"/>
            </w:tcBorders>
            <w:shd w:fill="F5F8FC" w:color="auto" w:val="clear"/>
            <w:tcMar>
              <w:top w:type="dxa" w:w="60"/>
              <w:left w:type="dxa" w:w="100"/>
              <w:bottom w:type="dxa" w:w="60"/>
              <w:right w:type="dxa" w:w="100"/>
            </w:tcMar>
          </w:tcPr>
          <w:p>
            <w:pPr>
              <w:spacing w:after="0" w:before="0" w:line="240"/>
            </w:pPr>
            <w:r>
              <w:rPr>
                <w:rFonts w:ascii="Calibri" w:cs="Calibri" w:eastAsia="Calibri" w:hAnsi="Calibri"/>
                <w:b w:val="false"/>
                <w:bCs w:val="false"/>
                <w:sz w:val="19"/>
                <w:szCs w:val="19"/>
              </w:rPr>
              <w:t xml:space="preserve">Your own SAP session</w:t>
            </w:r>
          </w:p>
        </w:tc>
        <w:tc>
          <w:tcPr>
            <w:tcW w:type="dxa" w:w="4600"/>
            <w:tcBorders>
              <w:top w:val="single" w:color="D5DCE6" w:sz="4"/>
              <w:left w:val="single" w:color="D5DCE6" w:sz="4"/>
              <w:bottom w:val="single" w:color="D5DCE6" w:sz="4"/>
              <w:right w:val="single" w:color="D5DCE6" w:sz="4"/>
            </w:tcBorders>
            <w:shd w:fill="F5F8FC" w:color="auto" w:val="clear"/>
            <w:tcMar>
              <w:top w:type="dxa" w:w="60"/>
              <w:left w:type="dxa" w:w="100"/>
              <w:bottom w:type="dxa" w:w="60"/>
              <w:right w:type="dxa" w:w="100"/>
            </w:tcMar>
          </w:tcPr>
          <w:p>
            <w:pPr>
              <w:spacing w:after="0" w:before="0" w:line="240"/>
            </w:pPr>
            <w:r>
              <w:rPr>
                <w:rFonts w:ascii="Calibri" w:cs="Calibri" w:eastAsia="Calibri" w:hAnsi="Calibri"/>
                <w:b w:val="false"/>
                <w:bCs w:val="false"/>
                <w:sz w:val="19"/>
                <w:szCs w:val="19"/>
              </w:rPr>
              <w:t xml:space="preserve">SAP GUI on your desktop, or Fiori in a browser tab — display only</w:t>
            </w:r>
          </w:p>
        </w:tc>
        <w:tc>
          <w:tcPr>
            <w:tcW w:type="dxa" w:w="2480"/>
            <w:tcBorders>
              <w:top w:val="single" w:color="D5DCE6" w:sz="4"/>
              <w:left w:val="single" w:color="D5DCE6" w:sz="4"/>
              <w:bottom w:val="single" w:color="D5DCE6" w:sz="4"/>
              <w:right w:val="single" w:color="D5DCE6" w:sz="4"/>
            </w:tcBorders>
            <w:shd w:fill="F5F8FC" w:color="auto" w:val="clear"/>
            <w:tcMar>
              <w:top w:type="dxa" w:w="60"/>
              <w:left w:type="dxa" w:w="100"/>
              <w:bottom w:type="dxa" w:w="60"/>
              <w:right w:type="dxa" w:w="100"/>
            </w:tcMar>
          </w:tcPr>
          <w:p>
            <w:pPr>
              <w:spacing w:after="0" w:before="0" w:line="240"/>
            </w:pPr>
            <w:r>
              <w:rPr>
                <w:rFonts w:ascii="Calibri" w:cs="Calibri" w:eastAsia="Calibri" w:hAnsi="Calibri"/>
                <w:b w:val="false"/>
                <w:bCs w:val="false"/>
                <w:sz w:val="19"/>
                <w:szCs w:val="19"/>
              </w:rPr>
              <w:t xml:space="preserve">Every Demo Lab and between sessions</w:t>
            </w:r>
          </w:p>
        </w:tc>
      </w:tr>
      <w:tr>
        <w:trPr>
          <w:cantSplit/>
        </w:trPr>
        <w:tc>
          <w:tcPr>
            <w:tcW w:type="dxa" w:w="300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9"/>
                <w:szCs w:val="19"/>
              </w:rPr>
              <w:t xml:space="preserve">Your materials folder</w:t>
            </w:r>
          </w:p>
        </w:tc>
        <w:tc>
          <w:tcPr>
            <w:tcW w:type="dxa" w:w="460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9"/>
                <w:szCs w:val="19"/>
              </w:rPr>
              <w:t>This handbook, the Trainee User Guide, Reading Packs, templates, assessment briefs and the Beyond the Core index</w:t>
            </w:r>
          </w:p>
        </w:tc>
        <w:tc>
          <w:tcPr>
            <w:tcW w:type="dxa" w:w="248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9"/>
                <w:szCs w:val="19"/>
              </w:rPr>
              <w:t xml:space="preserve">Throughout</w:t>
            </w:r>
          </w:p>
        </w:tc>
      </w:tr>
    </w:tbl>
    <w:p>
      <w:pPr>
        <w:spacing w:after="80" w:before="0" w:line="240"/>
      </w:pPr>
      <w:r>
        <w:rPr>
          <w:rFonts w:ascii="Calibri" w:cs="Calibri" w:eastAsia="Calibri" w:hAnsi="Calibri"/>
          <w:sz w:val="21"/>
          <w:szCs w:val="21"/>
        </w:rPr>
        <w:t>The app does not connect to SAP. Sign into SAP separately and run the two side by side — the Trainee User Guide shows how.</w:t>
      </w:r>
    </w:p>
    <w:p>
      <w:pPr>
        <w:spacing w:after="80" w:before="0" w:line="240"/>
      </w:pPr>
      <w:r>
        <w:rPr>
          <w:rFonts w:ascii="Calibri" w:cs="Calibri" w:eastAsia="Calibri" w:hAnsi="Calibri"/>
          <w:b/>
          <w:bCs/>
          <w:sz w:val="21"/>
          <w:szCs w:val="21"/>
        </w:rPr>
        <w:t xml:space="preserve">One detail that catches everybody out: </w:t>
      </w:r>
      <w:r>
        <w:rPr>
          <w:rFonts w:ascii="Calibri" w:cs="Calibri" w:eastAsia="Calibri" w:hAnsi="Calibri"/>
          <w:sz w:val="21"/>
          <w:szCs w:val="21"/>
        </w:rPr>
        <w:t xml:space="preserve">the counter at the top right of a Book page shows the Book's position in the app, not its Book number. Always go by the header.</w:t>
      </w:r>
    </w:p>
    <w:p>
      <w:pPr>
        <w:pStyle w:val="Heading1"/>
        <w:spacing w:after="100" w:before="240" w:line="240"/>
      </w:pPr>
      <w:r>
        <w:rPr>
          <w:rFonts w:ascii="Cambria" w:cs="Cambria" w:eastAsia="Cambria" w:hAnsi="Cambria"/>
          <w:b/>
          <w:bCs/>
          <w:color w:val="1B3358"/>
          <w:sz w:val="30"/>
          <w:szCs w:val="30"/>
        </w:rPr>
        <w:t xml:space="preserve">4 · What you have to do</w:t>
      </w:r>
    </w:p>
    <w:p>
      <w:pPr>
        <w:spacing w:after="40" w:before="120" w:line="240"/>
      </w:pPr>
      <w:r>
        <w:rPr>
          <w:rFonts w:ascii="Calibri" w:cs="Calibri" w:eastAsia="Calibri" w:hAnsi="Calibri"/>
          <w:b/>
          <w:bCs/>
          <w:caps/>
          <w:color w:val="8F5D18"/>
          <w:sz w:val="20"/>
          <w:szCs w:val="20"/>
        </w:rPr>
        <w:t xml:space="preserve">Every session</w:t>
      </w:r>
    </w:p>
    <w:p>
      <w:pPr>
        <w:pStyle w:val="ListParagraph"/>
        <w:numPr>
          <w:ilvl w:val="0"/>
          <w:numId w:val="2"/>
        </w:numPr>
        <w:spacing w:after="40" w:before="0" w:line="240"/>
      </w:pPr>
      <w:r>
        <w:rPr>
          <w:rFonts w:ascii="Calibri" w:cs="Calibri" w:eastAsia="Calibri" w:hAnsi="Calibri"/>
          <w:sz w:val="21"/>
          <w:szCs w:val="21"/>
        </w:rPr>
        <w:t xml:space="preserve">Read that session's Book in the app beforehand.</w:t>
      </w:r>
    </w:p>
    <w:p>
      <w:pPr>
        <w:pStyle w:val="ListParagraph"/>
        <w:numPr>
          <w:ilvl w:val="0"/>
          <w:numId w:val="2"/>
        </w:numPr>
        <w:spacing w:after="40" w:before="0" w:line="240"/>
      </w:pPr>
      <w:r>
        <w:rPr>
          <w:rFonts w:ascii="Calibri" w:cs="Calibri" w:eastAsia="Calibri" w:hAnsi="Calibri"/>
          <w:sz w:val="21"/>
          <w:szCs w:val="21"/>
        </w:rPr>
        <w:t xml:space="preserve">Repeat the full transaction walkthrough on your own login before the next session, and upload your exhibit in the app.</w:t>
      </w:r>
    </w:p>
    <w:p>
      <w:pPr>
        <w:pStyle w:val="ListParagraph"/>
        <w:numPr>
          <w:ilvl w:val="0"/>
          <w:numId w:val="2"/>
        </w:numPr>
        <w:spacing w:after="40" w:before="0" w:line="240"/>
      </w:pPr>
      <w:r>
        <w:rPr>
          <w:rFonts w:ascii="Calibri" w:cs="Calibri" w:eastAsia="Calibri" w:hAnsi="Calibri"/>
          <w:sz w:val="21"/>
          <w:szCs w:val="21"/>
        </w:rPr>
        <w:t xml:space="preserve">Expect a short evidence spot-check at the start of each session.</w:t>
      </w:r>
    </w:p>
    <w:p>
      <w:pPr>
        <w:spacing w:after="40" w:before="120" w:line="240"/>
      </w:pPr>
      <w:r>
        <w:rPr>
          <w:rFonts w:ascii="Calibri" w:cs="Calibri" w:eastAsia="Calibri" w:hAnsi="Calibri"/>
          <w:b/>
          <w:bCs/>
          <w:caps/>
          <w:color w:val="8F5D18"/>
          <w:sz w:val="20"/>
          <w:szCs w:val="20"/>
        </w:rPr>
        <w:t xml:space="preserve">Graded work</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300"/>
        <w:gridCol w:w="3700"/>
        <w:gridCol w:w="4080"/>
      </w:tblGrid>
      <w:tr>
        <w:trPr>
          <w:tblHeader/>
        </w:trPr>
        <w:tc>
          <w:tcPr>
            <w:tcW w:type="dxa" w:w="2300"/>
            <w:tcBorders>
              <w:top w:val="single" w:color="D5DCE6" w:sz="4"/>
              <w:left w:val="single" w:color="D5DCE6" w:sz="4"/>
              <w:bottom w:val="single" w:color="D5DCE6" w:sz="4"/>
              <w:right w:val="single" w:color="D5DCE6" w:sz="4"/>
            </w:tcBorders>
            <w:shd w:fill="1B3358"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9"/>
                <w:szCs w:val="19"/>
              </w:rPr>
              <w:t xml:space="preserve">Item</w:t>
            </w:r>
          </w:p>
        </w:tc>
        <w:tc>
          <w:tcPr>
            <w:tcW w:type="dxa" w:w="3700"/>
            <w:tcBorders>
              <w:top w:val="single" w:color="D5DCE6" w:sz="4"/>
              <w:left w:val="single" w:color="D5DCE6" w:sz="4"/>
              <w:bottom w:val="single" w:color="D5DCE6" w:sz="4"/>
              <w:right w:val="single" w:color="D5DCE6" w:sz="4"/>
            </w:tcBorders>
            <w:shd w:fill="1B3358"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9"/>
                <w:szCs w:val="19"/>
              </w:rPr>
              <w:t xml:space="preserve">What</w:t>
            </w:r>
          </w:p>
        </w:tc>
        <w:tc>
          <w:tcPr>
            <w:tcW w:type="dxa" w:w="4080"/>
            <w:tcBorders>
              <w:top w:val="single" w:color="D5DCE6" w:sz="4"/>
              <w:left w:val="single" w:color="D5DCE6" w:sz="4"/>
              <w:bottom w:val="single" w:color="D5DCE6" w:sz="4"/>
              <w:right w:val="single" w:color="D5DCE6" w:sz="4"/>
            </w:tcBorders>
            <w:shd w:fill="1B3358"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9"/>
                <w:szCs w:val="19"/>
              </w:rPr>
              <w:t xml:space="preserve">When</w:t>
            </w:r>
          </w:p>
        </w:tc>
      </w:tr>
      <w:tr>
        <w:trPr>
          <w:cantSplit/>
        </w:trPr>
        <w:tc>
          <w:tcPr>
            <w:tcW w:type="dxa" w:w="230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9"/>
                <w:szCs w:val="19"/>
              </w:rPr>
              <w:t>Workpaper 1</w:t>
            </w:r>
          </w:p>
        </w:tc>
        <w:tc>
          <w:tcPr>
            <w:tcW w:type="dxa" w:w="370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9"/>
                <w:szCs w:val="19"/>
              </w:rPr>
              <w:t>Intermediate · Access / SoD test — one of Books 1, 4, 7, 16, 17</w:t>
            </w:r>
          </w:p>
        </w:tc>
        <w:tc>
          <w:tcPr>
            <w:tcW w:type="dxa" w:w="408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9"/>
                <w:szCs w:val="19"/>
              </w:rPr>
              <w:t>Assigned session 6 · due 23:59 CT on the day of session 8</w:t>
            </w:r>
          </w:p>
        </w:tc>
      </w:tr>
      <w:tr>
        <w:trPr>
          <w:cantSplit/>
        </w:trPr>
        <w:tc>
          <w:tcPr>
            <w:tcW w:type="dxa" w:w="230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9"/>
                <w:szCs w:val="19"/>
              </w:rPr>
              <w:t>Workpaper 2</w:t>
            </w:r>
          </w:p>
        </w:tc>
        <w:tc>
          <w:tcPr>
            <w:tcW w:type="dxa" w:w="370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9"/>
                <w:szCs w:val="19"/>
              </w:rPr>
              <w:t>Intermediate · Change-management test — one of Books 2, 18, 19, 20</w:t>
            </w:r>
          </w:p>
        </w:tc>
        <w:tc>
          <w:tcPr>
            <w:tcW w:type="dxa" w:w="408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9"/>
                <w:szCs w:val="19"/>
              </w:rPr>
              <w:t>Assigned session 9 · due 23:59 CT on the day of session 12</w:t>
            </w:r>
          </w:p>
        </w:tc>
      </w:tr>
      <w:tr>
        <w:trPr>
          <w:cantSplit/>
        </w:trPr>
        <w:tc>
          <w:tcPr>
            <w:tcW w:type="dxa" w:w="230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9"/>
                <w:szCs w:val="19"/>
              </w:rPr>
              <w:t>Workpaper 3</w:t>
            </w:r>
          </w:p>
        </w:tc>
        <w:tc>
          <w:tcPr>
            <w:tcW w:type="dxa" w:w="370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9"/>
                <w:szCs w:val="19"/>
              </w:rPr>
              <w:t>Intermediate · Application or Order-to-Cash test — one of Books 24–27, 29, 30</w:t>
            </w:r>
          </w:p>
        </w:tc>
        <w:tc>
          <w:tcPr>
            <w:tcW w:type="dxa" w:w="408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9"/>
                <w:szCs w:val="19"/>
              </w:rPr>
              <w:t>Assigned session 13 · due 23:59 CT on the day of session 15</w:t>
            </w:r>
          </w:p>
        </w:tc>
      </w:tr>
      <w:tr>
        <w:trPr>
          <w:cantSplit/>
        </w:trPr>
        <w:tc>
          <w:tcPr>
            <w:tcW w:type="dxa" w:w="230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9"/>
                <w:szCs w:val="19"/>
              </w:rPr>
              <w:t>Thornfield RCM</w:t>
            </w:r>
          </w:p>
        </w:tc>
        <w:tc>
          <w:tcPr>
            <w:tcW w:type="dxa" w:w="370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9"/>
                <w:szCs w:val="19"/>
              </w:rPr>
              <w:t>Advanced · Build the Thornfield Risk &amp; Control Matrix and select key controls</w:t>
            </w:r>
          </w:p>
        </w:tc>
        <w:tc>
          <w:tcPr>
            <w:tcW w:type="dxa" w:w="408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9"/>
                <w:szCs w:val="19"/>
              </w:rPr>
              <w:t>Advanced session 3 · submit by 23:59 CT that day</w:t>
            </w:r>
          </w:p>
        </w:tc>
      </w:tr>
      <w:tr>
        <w:trPr>
          <w:cantSplit/>
        </w:trPr>
        <w:tc>
          <w:tcPr>
            <w:tcW w:type="dxa" w:w="230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9"/>
                <w:szCs w:val="19"/>
              </w:rPr>
              <w:t>Deficiency memo</w:t>
            </w:r>
          </w:p>
        </w:tc>
        <w:tc>
          <w:tcPr>
            <w:tcW w:type="dxa" w:w="370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9"/>
                <w:szCs w:val="19"/>
              </w:rPr>
              <w:t>Advanced · Rate one finding — deficiency, significant deficiency or material weakness</w:t>
            </w:r>
          </w:p>
        </w:tc>
        <w:tc>
          <w:tcPr>
            <w:tcW w:type="dxa" w:w="408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9"/>
                <w:szCs w:val="19"/>
              </w:rPr>
              <w:t>Assigned Advanced session 6 · due 23:59 CT on the day of session 10</w:t>
            </w:r>
          </w:p>
        </w:tc>
      </w:tr>
      <w:tr>
        <w:trPr>
          <w:cantSplit/>
        </w:trPr>
        <w:tc>
          <w:tcPr>
            <w:tcW w:type="dxa" w:w="230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9"/>
                <w:szCs w:val="19"/>
              </w:rPr>
              <w:t>Defend It</w:t>
            </w:r>
          </w:p>
        </w:tc>
        <w:tc>
          <w:tcPr>
            <w:tcW w:type="dxa" w:w="370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9"/>
                <w:szCs w:val="19"/>
              </w:rPr>
              <w:t>Present and defend your conclusion</w:t>
            </w:r>
          </w:p>
        </w:tc>
        <w:tc>
          <w:tcPr>
            <w:tcW w:type="dxa" w:w="408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9"/>
                <w:szCs w:val="19"/>
              </w:rPr>
              <w:t>Book sessions at both levels (rota set in session 1)</w:t>
            </w:r>
          </w:p>
        </w:tc>
      </w:tr>
      <w:tr>
        <w:trPr>
          <w:cantSplit/>
        </w:trPr>
        <w:tc>
          <w:tcPr>
            <w:tcW w:type="dxa" w:w="230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9"/>
                <w:szCs w:val="19"/>
              </w:rPr>
              <w:t>Stakeholder panel</w:t>
            </w:r>
          </w:p>
        </w:tc>
        <w:tc>
          <w:tcPr>
            <w:tcW w:type="dxa" w:w="370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9"/>
                <w:szCs w:val="19"/>
              </w:rPr>
              <w:t>Advanced · One finding, presented to an auditor, an SAP developer and a CFO</w:t>
            </w:r>
          </w:p>
        </w:tc>
        <w:tc>
          <w:tcPr>
            <w:tcW w:type="dxa" w:w="408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9"/>
                <w:szCs w:val="19"/>
              </w:rPr>
              <w:t>Advanced session 12</w:t>
            </w:r>
          </w:p>
        </w:tc>
      </w:tr>
    </w:tbl>
    <w:p>
      <w:pPr>
        <w:spacing w:after="80" w:before="0" w:line="240"/>
      </w:pPr>
      <w:r>
        <w:rPr>
          <w:rFonts w:ascii="Calibri" w:cs="Calibri" w:eastAsia="Calibri" w:hAnsi="Calibri"/>
          <w:sz w:val="21"/>
          <w:szCs w:val="21"/>
        </w:rPr>
        <w:t>Full briefs are in Workpaper Briefs 1–3, the Midpoint RCM Exercise and the Stakeholder Panel Brief in your assessment folder. Use the Workpaper Template and Standard and a Planning Card for each workpaper.</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5F8FC" w:sz="4"/>
              <w:left w:val="single" w:color="1F6B67" w:sz="24"/>
              <w:bottom w:val="single" w:color="F5F8FC" w:sz="4"/>
              <w:right w:val="single" w:color="F5F8FC" w:sz="4"/>
            </w:tcBorders>
            <w:shd w:fill="F5F8FC" w:color="auto" w:val="clear"/>
            <w:tcMar>
              <w:top w:type="dxa" w:w="100"/>
              <w:left w:type="dxa" w:w="160"/>
              <w:bottom w:type="dxa" w:w="100"/>
              <w:right w:type="dxa" w:w="160"/>
            </w:tcMar>
          </w:tcPr>
          <w:p>
            <w:pPr>
              <w:spacing w:after="40" w:line="240"/>
            </w:pPr>
            <w:r>
              <w:rPr>
                <w:rFonts w:ascii="Calibri" w:cs="Calibri" w:eastAsia="Calibri" w:hAnsi="Calibri"/>
                <w:b/>
                <w:bCs/>
                <w:color w:val="1F6B67"/>
                <w:sz w:val="20"/>
                <w:szCs w:val="20"/>
              </w:rPr>
              <w:t>SEVERITY — WHEN TO STATE IT</w:t>
            </w:r>
          </w:p>
          <w:p>
            <w:pPr>
              <w:spacing w:after="30" w:line="240"/>
            </w:pPr>
            <w:r>
              <w:rPr>
                <w:rFonts w:ascii="Calibri" w:cs="Calibri" w:eastAsia="Calibri" w:hAnsi="Calibri"/>
                <w:sz w:val="20"/>
                <w:szCs w:val="20"/>
              </w:rPr>
              <w:t>Workpapers 1–3 (Intermediate): state the facts and your conclusion (effective / not effective). Do not call a deficiency “minor” or “immaterial” — severity depends on thresholds you do not have yet.</w:t>
            </w:r>
          </w:p>
          <w:p>
            <w:pPr>
              <w:spacing w:after="30" w:line="240"/>
            </w:pPr>
            <w:r>
              <w:rPr>
                <w:rFonts w:ascii="Calibri" w:cs="Calibri" w:eastAsia="Calibri" w:hAnsi="Calibri"/>
                <w:sz w:val="20"/>
                <w:szCs w:val="20"/>
              </w:rPr>
              <w:t>Deficiency memo (Advanced): after Book 39, you do rate severity — deficiency, significant deficiency or material weakness — with a one-sentence justification.</w:t>
            </w:r>
          </w:p>
        </w:tc>
      </w:tr>
    </w:tbl>
    <w:p>
      <w:pPr>
        <w:pStyle w:val="Heading1"/>
        <w:spacing w:after="100" w:before="240" w:line="240"/>
      </w:pPr>
      <w:r>
        <w:rPr>
          <w:rFonts w:ascii="Cambria" w:cs="Cambria" w:eastAsia="Cambria" w:hAnsi="Cambria"/>
          <w:b/>
          <w:bCs/>
          <w:color w:val="1B3358"/>
          <w:sz w:val="30"/>
          <w:szCs w:val="30"/>
        </w:rPr>
        <w:t xml:space="preserve">5 · How you are assessed</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00"/>
        <w:gridCol w:w="8680"/>
      </w:tblGrid>
      <w:tr>
        <w:trPr>
          <w:tblHeader/>
        </w:trPr>
        <w:tc>
          <w:tcPr>
            <w:tcW w:type="dxa" w:w="1400"/>
            <w:tcBorders>
              <w:top w:val="single" w:color="D5DCE6" w:sz="4"/>
              <w:left w:val="single" w:color="D5DCE6" w:sz="4"/>
              <w:bottom w:val="single" w:color="D5DCE6" w:sz="4"/>
              <w:right w:val="single" w:color="D5DCE6" w:sz="4"/>
            </w:tcBorders>
            <w:shd w:fill="1B3358"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9"/>
                <w:szCs w:val="19"/>
              </w:rPr>
              <w:t xml:space="preserve">Weight</w:t>
            </w:r>
          </w:p>
        </w:tc>
        <w:tc>
          <w:tcPr>
            <w:tcW w:type="dxa" w:w="8680"/>
            <w:tcBorders>
              <w:top w:val="single" w:color="D5DCE6" w:sz="4"/>
              <w:left w:val="single" w:color="D5DCE6" w:sz="4"/>
              <w:bottom w:val="single" w:color="D5DCE6" w:sz="4"/>
              <w:right w:val="single" w:color="D5DCE6" w:sz="4"/>
            </w:tcBorders>
            <w:shd w:fill="1B3358"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9"/>
                <w:szCs w:val="19"/>
              </w:rPr>
              <w:t xml:space="preserve">Rubric line</w:t>
            </w:r>
          </w:p>
        </w:tc>
      </w:tr>
      <w:tr>
        <w:trPr>
          <w:cantSplit/>
        </w:trPr>
        <w:tc>
          <w:tcPr>
            <w:tcW w:type="dxa" w:w="140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9"/>
                <w:szCs w:val="19"/>
              </w:rPr>
              <w:t xml:space="preserve">20%</w:t>
            </w:r>
          </w:p>
        </w:tc>
        <w:tc>
          <w:tcPr>
            <w:tcW w:type="dxa" w:w="868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9"/>
                <w:szCs w:val="19"/>
              </w:rPr>
              <w:t xml:space="preserve">Business risk &amp; control understanding</w:t>
            </w:r>
          </w:p>
        </w:tc>
      </w:tr>
      <w:tr>
        <w:trPr>
          <w:cantSplit/>
        </w:trPr>
        <w:tc>
          <w:tcPr>
            <w:tcW w:type="dxa" w:w="1400"/>
            <w:tcBorders>
              <w:top w:val="single" w:color="D5DCE6" w:sz="4"/>
              <w:left w:val="single" w:color="D5DCE6" w:sz="4"/>
              <w:bottom w:val="single" w:color="D5DCE6" w:sz="4"/>
              <w:right w:val="single" w:color="D5DCE6" w:sz="4"/>
            </w:tcBorders>
            <w:shd w:fill="F5F8FC" w:color="auto" w:val="clear"/>
            <w:tcMar>
              <w:top w:type="dxa" w:w="60"/>
              <w:left w:type="dxa" w:w="100"/>
              <w:bottom w:type="dxa" w:w="60"/>
              <w:right w:type="dxa" w:w="100"/>
            </w:tcMar>
          </w:tcPr>
          <w:p>
            <w:pPr>
              <w:spacing w:after="0" w:before="0" w:line="240"/>
            </w:pPr>
            <w:r>
              <w:rPr>
                <w:rFonts w:ascii="Calibri" w:cs="Calibri" w:eastAsia="Calibri" w:hAnsi="Calibri"/>
                <w:b w:val="false"/>
                <w:bCs w:val="false"/>
                <w:sz w:val="19"/>
                <w:szCs w:val="19"/>
              </w:rPr>
              <w:t xml:space="preserve">15%</w:t>
            </w:r>
          </w:p>
        </w:tc>
        <w:tc>
          <w:tcPr>
            <w:tcW w:type="dxa" w:w="8680"/>
            <w:tcBorders>
              <w:top w:val="single" w:color="D5DCE6" w:sz="4"/>
              <w:left w:val="single" w:color="D5DCE6" w:sz="4"/>
              <w:bottom w:val="single" w:color="D5DCE6" w:sz="4"/>
              <w:right w:val="single" w:color="D5DCE6" w:sz="4"/>
            </w:tcBorders>
            <w:shd w:fill="F5F8FC" w:color="auto" w:val="clear"/>
            <w:tcMar>
              <w:top w:type="dxa" w:w="60"/>
              <w:left w:type="dxa" w:w="100"/>
              <w:bottom w:type="dxa" w:w="60"/>
              <w:right w:type="dxa" w:w="100"/>
            </w:tcMar>
          </w:tcPr>
          <w:p>
            <w:pPr>
              <w:spacing w:after="0" w:before="0" w:line="240"/>
            </w:pPr>
            <w:r>
              <w:rPr>
                <w:rFonts w:ascii="Calibri" w:cs="Calibri" w:eastAsia="Calibri" w:hAnsi="Calibri"/>
                <w:b w:val="false"/>
                <w:bCs w:val="false"/>
                <w:sz w:val="19"/>
                <w:szCs w:val="19"/>
              </w:rPr>
              <w:t xml:space="preserve">Testing strategy &amp; population definition</w:t>
            </w:r>
          </w:p>
        </w:tc>
      </w:tr>
      <w:tr>
        <w:trPr>
          <w:cantSplit/>
        </w:trPr>
        <w:tc>
          <w:tcPr>
            <w:tcW w:type="dxa" w:w="140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9"/>
                <w:szCs w:val="19"/>
              </w:rPr>
              <w:t xml:space="preserve">15%</w:t>
            </w:r>
          </w:p>
        </w:tc>
        <w:tc>
          <w:tcPr>
            <w:tcW w:type="dxa" w:w="868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9"/>
                <w:szCs w:val="19"/>
              </w:rPr>
              <w:t xml:space="preserve">Evidence evaluation</w:t>
            </w:r>
          </w:p>
        </w:tc>
      </w:tr>
      <w:tr>
        <w:trPr>
          <w:cantSplit/>
        </w:trPr>
        <w:tc>
          <w:tcPr>
            <w:tcW w:type="dxa" w:w="1400"/>
            <w:tcBorders>
              <w:top w:val="single" w:color="D5DCE6" w:sz="4"/>
              <w:left w:val="single" w:color="D5DCE6" w:sz="4"/>
              <w:bottom w:val="single" w:color="D5DCE6" w:sz="4"/>
              <w:right w:val="single" w:color="D5DCE6" w:sz="4"/>
            </w:tcBorders>
            <w:shd w:fill="F5F8FC" w:color="auto" w:val="clear"/>
            <w:tcMar>
              <w:top w:type="dxa" w:w="60"/>
              <w:left w:type="dxa" w:w="100"/>
              <w:bottom w:type="dxa" w:w="60"/>
              <w:right w:type="dxa" w:w="100"/>
            </w:tcMar>
          </w:tcPr>
          <w:p>
            <w:pPr>
              <w:spacing w:after="0" w:before="0" w:line="240"/>
            </w:pPr>
            <w:r>
              <w:rPr>
                <w:rFonts w:ascii="Calibri" w:cs="Calibri" w:eastAsia="Calibri" w:hAnsi="Calibri"/>
                <w:b w:val="false"/>
                <w:bCs w:val="false"/>
                <w:sz w:val="19"/>
                <w:szCs w:val="19"/>
              </w:rPr>
              <w:t xml:space="preserve">15%</w:t>
            </w:r>
          </w:p>
        </w:tc>
        <w:tc>
          <w:tcPr>
            <w:tcW w:type="dxa" w:w="8680"/>
            <w:tcBorders>
              <w:top w:val="single" w:color="D5DCE6" w:sz="4"/>
              <w:left w:val="single" w:color="D5DCE6" w:sz="4"/>
              <w:bottom w:val="single" w:color="D5DCE6" w:sz="4"/>
              <w:right w:val="single" w:color="D5DCE6" w:sz="4"/>
            </w:tcBorders>
            <w:shd w:fill="F5F8FC" w:color="auto" w:val="clear"/>
            <w:tcMar>
              <w:top w:type="dxa" w:w="60"/>
              <w:left w:type="dxa" w:w="100"/>
              <w:bottom w:type="dxa" w:w="60"/>
              <w:right w:type="dxa" w:w="100"/>
            </w:tcMar>
          </w:tcPr>
          <w:p>
            <w:pPr>
              <w:spacing w:after="0" w:before="0" w:line="240"/>
            </w:pPr>
            <w:r>
              <w:rPr>
                <w:rFonts w:ascii="Calibri" w:cs="Calibri" w:eastAsia="Calibri" w:hAnsi="Calibri"/>
                <w:b w:val="false"/>
                <w:bCs w:val="false"/>
                <w:sz w:val="19"/>
                <w:szCs w:val="19"/>
              </w:rPr>
              <w:t xml:space="preserve">Consultant judgement &amp; escalation</w:t>
            </w:r>
          </w:p>
        </w:tc>
      </w:tr>
      <w:tr>
        <w:trPr>
          <w:cantSplit/>
        </w:trPr>
        <w:tc>
          <w:tcPr>
            <w:tcW w:type="dxa" w:w="140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9"/>
                <w:szCs w:val="19"/>
              </w:rPr>
              <w:t xml:space="preserve">15%</w:t>
            </w:r>
          </w:p>
        </w:tc>
        <w:tc>
          <w:tcPr>
            <w:tcW w:type="dxa" w:w="868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9"/>
                <w:szCs w:val="19"/>
              </w:rPr>
              <w:t xml:space="preserve">Workpaper &amp; conclusion quality</w:t>
            </w:r>
          </w:p>
        </w:tc>
      </w:tr>
      <w:tr>
        <w:trPr>
          <w:cantSplit/>
        </w:trPr>
        <w:tc>
          <w:tcPr>
            <w:tcW w:type="dxa" w:w="1400"/>
            <w:tcBorders>
              <w:top w:val="single" w:color="D5DCE6" w:sz="4"/>
              <w:left w:val="single" w:color="D5DCE6" w:sz="4"/>
              <w:bottom w:val="single" w:color="D5DCE6" w:sz="4"/>
              <w:right w:val="single" w:color="D5DCE6" w:sz="4"/>
            </w:tcBorders>
            <w:shd w:fill="F5F8FC" w:color="auto" w:val="clear"/>
            <w:tcMar>
              <w:top w:type="dxa" w:w="60"/>
              <w:left w:type="dxa" w:w="100"/>
              <w:bottom w:type="dxa" w:w="60"/>
              <w:right w:type="dxa" w:w="100"/>
            </w:tcMar>
          </w:tcPr>
          <w:p>
            <w:pPr>
              <w:spacing w:after="0" w:before="0" w:line="240"/>
            </w:pPr>
            <w:r>
              <w:rPr>
                <w:rFonts w:ascii="Calibri" w:cs="Calibri" w:eastAsia="Calibri" w:hAnsi="Calibri"/>
                <w:b w:val="false"/>
                <w:bCs w:val="false"/>
                <w:sz w:val="19"/>
                <w:szCs w:val="19"/>
              </w:rPr>
              <w:t xml:space="preserve">10%</w:t>
            </w:r>
          </w:p>
        </w:tc>
        <w:tc>
          <w:tcPr>
            <w:tcW w:type="dxa" w:w="8680"/>
            <w:tcBorders>
              <w:top w:val="single" w:color="D5DCE6" w:sz="4"/>
              <w:left w:val="single" w:color="D5DCE6" w:sz="4"/>
              <w:bottom w:val="single" w:color="D5DCE6" w:sz="4"/>
              <w:right w:val="single" w:color="D5DCE6" w:sz="4"/>
            </w:tcBorders>
            <w:shd w:fill="F5F8FC" w:color="auto" w:val="clear"/>
            <w:tcMar>
              <w:top w:type="dxa" w:w="60"/>
              <w:left w:type="dxa" w:w="100"/>
              <w:bottom w:type="dxa" w:w="60"/>
              <w:right w:type="dxa" w:w="100"/>
            </w:tcMar>
          </w:tcPr>
          <w:p>
            <w:pPr>
              <w:spacing w:after="0" w:before="0" w:line="240"/>
            </w:pPr>
            <w:r>
              <w:rPr>
                <w:rFonts w:ascii="Calibri" w:cs="Calibri" w:eastAsia="Calibri" w:hAnsi="Calibri"/>
                <w:b w:val="false"/>
                <w:bCs w:val="false"/>
                <w:sz w:val="19"/>
                <w:szCs w:val="19"/>
              </w:rPr>
              <w:t xml:space="preserve">Stakeholder communication</w:t>
            </w:r>
          </w:p>
        </w:tc>
      </w:tr>
      <w:tr>
        <w:trPr>
          <w:cantSplit/>
        </w:trPr>
        <w:tc>
          <w:tcPr>
            <w:tcW w:type="dxa" w:w="140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9"/>
                <w:szCs w:val="19"/>
              </w:rPr>
              <w:t xml:space="preserve">10%</w:t>
            </w:r>
          </w:p>
        </w:tc>
        <w:tc>
          <w:tcPr>
            <w:tcW w:type="dxa" w:w="868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9"/>
                <w:szCs w:val="19"/>
              </w:rPr>
              <w:t xml:space="preserve">SAP execution accuracy</w:t>
            </w:r>
          </w:p>
        </w:tc>
      </w:tr>
    </w:tbl>
    <w:p>
      <w:pPr>
        <w:spacing w:after="60" w:before="0"/>
      </w:pPr>
    </w:p>
    <w:p>
      <w:pPr>
        <w:pStyle w:val="ListParagraph"/>
        <w:numPr>
          <w:ilvl w:val="0"/>
          <w:numId w:val="2"/>
        </w:numPr>
        <w:spacing w:after="40" w:before="0" w:line="240"/>
      </w:pPr>
      <w:r>
        <w:rPr>
          <w:rFonts w:ascii="Calibri" w:cs="Calibri" w:eastAsia="Calibri" w:hAnsi="Calibri"/>
          <w:sz w:val="21"/>
          <w:szCs w:val="21"/>
        </w:rPr>
        <w:t xml:space="preserve">SAP execution is only 10%, deliberately. Navigation gets faster with practice; judgement is what gets you promoted.</w:t>
      </w:r>
    </w:p>
    <w:p>
      <w:pPr>
        <w:pStyle w:val="ListParagraph"/>
        <w:numPr>
          <w:ilvl w:val="0"/>
          <w:numId w:val="2"/>
        </w:numPr>
        <w:spacing w:after="40" w:before="0" w:line="240"/>
      </w:pPr>
      <w:r>
        <w:rPr>
          <w:rFonts w:ascii="Calibri" w:cs="Calibri" w:eastAsia="Calibri" w:hAnsi="Calibri"/>
          <w:sz w:val="21"/>
          <w:szCs w:val="21"/>
        </w:rPr>
        <w:t xml:space="preserve">A piece passes at a weighted score of 60 or above with no single line below 40. Below that it comes back marked “resubmit” with feedback, and you have one week.</w:t>
      </w:r>
    </w:p>
    <w:p>
      <w:pPr>
        <w:pStyle w:val="ListParagraph"/>
        <w:numPr>
          <w:ilvl w:val="0"/>
          <w:numId w:val="2"/>
        </w:numPr>
        <w:spacing w:after="40" w:before="0" w:line="240"/>
      </w:pPr>
      <w:r>
        <w:rPr>
          <w:rFonts w:ascii="Calibri" w:cs="Calibri" w:eastAsia="Calibri" w:hAnsi="Calibri"/>
          <w:sz w:val="21"/>
          <w:szCs w:val="21"/>
        </w:rPr>
        <w:t>Certificates: Intermediate — prerequisite exam passed + all 19 Intermediate Books completed in the app (15 live + 4 guided self-study) + Workpapers 1–3 passed. Advanced — all 8 Advanced Books completed + Thornfield RCM, deficiency memo and stakeholder panel passed. Beyond the Core Books are optional.</w:t>
      </w:r>
    </w:p>
    <w:p>
      <w:pPr>
        <w:pStyle w:val="Heading1"/>
        <w:spacing w:after="100" w:before="240" w:line="240"/>
      </w:pPr>
      <w:r>
        <w:rPr>
          <w:rFonts w:ascii="Cambria" w:cs="Cambria" w:eastAsia="Cambria" w:hAnsi="Cambria"/>
          <w:b/>
          <w:bCs/>
          <w:color w:val="1B3358"/>
          <w:sz w:val="30"/>
          <w:szCs w:val="30"/>
        </w:rPr>
        <w:t xml:space="preserve">6 · How questions work</w:t>
      </w:r>
    </w:p>
    <w:p>
      <w:pPr>
        <w:spacing w:after="80" w:before="0" w:line="240"/>
      </w:pPr>
      <w:r>
        <w:rPr>
          <w:rFonts w:ascii="Calibri" w:cs="Calibri" w:eastAsia="Calibri" w:hAnsi="Calibri"/>
          <w:sz w:val="21"/>
          <w:szCs w:val="21"/>
        </w:rPr>
        <w:t xml:space="preserve">Send questions you want discussed in class at least 24 hours before the session, using the Question Submission Template. Anything blocking your progress, raise immediately — don't wait.</w:t>
      </w:r>
    </w:p>
    <w:p>
      <w:pPr>
        <w:spacing w:after="80" w:before="0" w:line="240"/>
      </w:pPr>
      <w:r>
        <w:rPr>
          <w:rFonts w:ascii="Calibri" w:cs="Calibri" w:eastAsia="Calibri" w:hAnsi="Calibri"/>
          <w:b/>
          <w:bCs/>
          <w:sz w:val="21"/>
          <w:szCs w:val="21"/>
        </w:rPr>
        <w:t xml:space="preserve">Weak: </w:t>
      </w:r>
      <w:r>
        <w:rPr>
          <w:rFonts w:ascii="Calibri" w:cs="Calibri" w:eastAsia="Calibri" w:hAnsi="Calibri"/>
          <w:sz w:val="21"/>
          <w:szCs w:val="21"/>
        </w:rPr>
        <w:t xml:space="preserve">“I didn't understand Book 14.”  </w:t>
      </w:r>
      <w:r>
        <w:rPr>
          <w:rFonts w:ascii="Calibri" w:cs="Calibri" w:eastAsia="Calibri" w:hAnsi="Calibri"/>
          <w:b/>
          <w:bCs/>
          <w:sz w:val="21"/>
          <w:szCs w:val="21"/>
        </w:rPr>
        <w:t xml:space="preserve">Better: </w:t>
      </w:r>
      <w:r>
        <w:rPr>
          <w:rFonts w:ascii="Calibri" w:cs="Calibri" w:eastAsia="Calibri" w:hAnsi="Calibri"/>
          <w:sz w:val="21"/>
          <w:szCs w:val="21"/>
        </w:rPr>
        <w:t xml:space="preserve">“Book 14 — the rule is configured correctly, so how can it have failed if SM37 shows the job finished?”</w:t>
      </w:r>
    </w:p>
    <w:p>
      <w:pPr>
        <w:pStyle w:val="Heading1"/>
        <w:spacing w:after="100" w:before="240" w:line="240"/>
      </w:pPr>
      <w:r>
        <w:rPr>
          <w:rFonts w:ascii="Cambria" w:cs="Cambria" w:eastAsia="Cambria" w:hAnsi="Cambria"/>
          <w:b/>
          <w:bCs/>
          <w:color w:val="1B3358"/>
          <w:sz w:val="30"/>
          <w:szCs w:val="30"/>
        </w:rPr>
        <w:t xml:space="preserve">7 · Ground rules</w:t>
      </w:r>
    </w:p>
    <w:p>
      <w:pPr>
        <w:pStyle w:val="ListParagraph"/>
        <w:numPr>
          <w:ilvl w:val="0"/>
          <w:numId w:val="2"/>
        </w:numPr>
        <w:spacing w:after="40" w:before="0" w:line="240"/>
      </w:pPr>
      <w:r>
        <w:rPr>
          <w:rFonts w:ascii="Calibri" w:cs="Calibri" w:eastAsia="Calibri" w:hAnsi="Calibri"/>
          <w:sz w:val="21"/>
          <w:szCs w:val="21"/>
        </w:rPr>
        <w:t xml:space="preserve">Cameras on when you can; if your connection is poor, say so in chat.</w:t>
      </w:r>
    </w:p>
    <w:p>
      <w:pPr>
        <w:pStyle w:val="ListParagraph"/>
        <w:numPr>
          <w:ilvl w:val="0"/>
          <w:numId w:val="2"/>
        </w:numPr>
        <w:spacing w:after="40" w:before="0" w:line="240"/>
      </w:pPr>
      <w:r>
        <w:rPr>
          <w:rFonts w:ascii="Calibri" w:cs="Calibri" w:eastAsia="Calibri" w:hAnsi="Calibri"/>
          <w:sz w:val="21"/>
          <w:szCs w:val="21"/>
        </w:rPr>
        <w:t xml:space="preserve">Interrupt. Ask the question now rather than saving it.</w:t>
      </w:r>
    </w:p>
    <w:p>
      <w:pPr>
        <w:pStyle w:val="ListParagraph"/>
        <w:numPr>
          <w:ilvl w:val="0"/>
          <w:numId w:val="2"/>
        </w:numPr>
        <w:spacing w:after="40" w:before="0" w:line="240"/>
      </w:pPr>
      <w:r>
        <w:rPr>
          <w:rFonts w:ascii="Calibri" w:cs="Calibri" w:eastAsia="Calibri" w:hAnsi="Calibri"/>
          <w:sz w:val="21"/>
          <w:szCs w:val="21"/>
        </w:rPr>
        <w:t xml:space="preserve">Display only in SAP — never press a button that changes something, even in a sandbox.</w:t>
      </w:r>
    </w:p>
    <w:p>
      <w:pPr>
        <w:pStyle w:val="ListParagraph"/>
        <w:numPr>
          <w:ilvl w:val="0"/>
          <w:numId w:val="2"/>
        </w:numPr>
        <w:spacing w:after="40" w:before="0" w:line="240"/>
      </w:pPr>
      <w:r>
        <w:rPr>
          <w:rFonts w:ascii="Calibri" w:cs="Calibri" w:eastAsia="Calibri" w:hAnsi="Calibri"/>
          <w:sz w:val="21"/>
          <w:szCs w:val="21"/>
        </w:rPr>
        <w:t xml:space="preserve">Planning Card before transaction code: if you cannot say what your population is, you are not ready to type a T-code.</w:t>
      </w:r>
    </w:p>
    <w:p>
      <w:pPr>
        <w:pStyle w:val="ListParagraph"/>
        <w:numPr>
          <w:ilvl w:val="0"/>
          <w:numId w:val="2"/>
        </w:numPr>
        <w:spacing w:after="40" w:before="0" w:line="240"/>
      </w:pPr>
      <w:r>
        <w:rPr>
          <w:rFonts w:ascii="Calibri" w:cs="Calibri" w:eastAsia="Calibri" w:hAnsi="Calibri"/>
          <w:sz w:val="21"/>
          <w:szCs w:val="21"/>
        </w:rPr>
        <w:t xml:space="preserve">In Defend It, hold a correct conclusion under pressure. Change it only for a reason you can state.</w:t>
      </w:r>
    </w:p>
    <w:p>
      <w:pPr>
        <w:pStyle w:val="Heading1"/>
        <w:spacing w:after="100" w:before="240" w:line="240"/>
      </w:pPr>
      <w:r>
        <w:rPr>
          <w:rFonts w:ascii="Cambria" w:cs="Cambria" w:eastAsia="Cambria" w:hAnsi="Cambria"/>
          <w:b/>
          <w:bCs/>
          <w:color w:val="1B3358"/>
          <w:sz w:val="30"/>
          <w:szCs w:val="30"/>
        </w:rPr>
        <w:t xml:space="preserve">8 · Frequently asked</w:t>
      </w:r>
    </w:p>
    <w:p>
      <w:pPr>
        <w:spacing w:after="40" w:before="120" w:line="240"/>
      </w:pPr>
      <w:r>
        <w:rPr>
          <w:rFonts w:ascii="Calibri" w:cs="Calibri" w:eastAsia="Calibri" w:hAnsi="Calibri"/>
          <w:b/>
          <w:bCs/>
          <w:caps/>
          <w:color w:val="1F6B67"/>
          <w:sz w:val="20"/>
          <w:szCs w:val="20"/>
        </w:rPr>
        <w:t xml:space="preserve">Is there an exam?</w:t>
      </w:r>
    </w:p>
    <w:p>
      <w:pPr>
        <w:spacing w:after="80" w:before="0" w:line="240"/>
      </w:pPr>
      <w:r>
        <w:rPr>
          <w:rFonts w:ascii="Calibri" w:cs="Calibri" w:eastAsia="Calibri" w:hAnsi="Calibri"/>
          <w:sz w:val="21"/>
          <w:szCs w:val="21"/>
        </w:rPr>
        <w:t>One — the Controls Theory prerequisite exam, before session 1. After that you are assessed on your workpapers, Defend It and, at the Advanced level, the RCM, the deficiency memo and the panel.</w:t>
      </w:r>
    </w:p>
    <w:p>
      <w:pPr>
        <w:spacing w:after="40" w:before="120" w:line="240"/>
      </w:pPr>
      <w:r>
        <w:rPr>
          <w:rFonts w:ascii="Calibri" w:cs="Calibri" w:eastAsia="Calibri" w:hAnsi="Calibri"/>
          <w:b/>
          <w:bCs/>
          <w:caps/>
          <w:color w:val="1F6B67"/>
          <w:sz w:val="20"/>
          <w:szCs w:val="20"/>
        </w:rPr>
        <w:t xml:space="preserve">What if I miss a session?</w:t>
      </w:r>
    </w:p>
    <w:p>
      <w:pPr>
        <w:spacing w:after="80" w:before="0" w:line="240"/>
      </w:pPr>
      <w:r>
        <w:rPr>
          <w:rFonts w:ascii="Calibri" w:cs="Calibri" w:eastAsia="Calibri" w:hAnsi="Calibri"/>
          <w:sz w:val="21"/>
          <w:szCs w:val="21"/>
        </w:rPr>
        <w:t xml:space="preserve">Tell the facilitator in advance. Work through that session's Book in the app, repeat the lab, and bring questions to the next session. If you miss your Defend It turn, it is rescheduled.</w:t>
      </w:r>
    </w:p>
    <w:p>
      <w:pPr>
        <w:spacing w:after="40" w:before="120" w:line="240"/>
      </w:pPr>
      <w:r>
        <w:rPr>
          <w:rFonts w:ascii="Calibri" w:cs="Calibri" w:eastAsia="Calibri" w:hAnsi="Calibri"/>
          <w:b/>
          <w:bCs/>
          <w:caps/>
          <w:color w:val="1F6B67"/>
          <w:sz w:val="20"/>
          <w:szCs w:val="20"/>
        </w:rPr>
        <w:t xml:space="preserve">What are the Beyond the Core Books?</w:t>
      </w:r>
    </w:p>
    <w:p>
      <w:pPr>
        <w:spacing w:after="80" w:before="0" w:line="240"/>
      </w:pPr>
      <w:r>
        <w:rPr>
          <w:rFonts w:ascii="Calibri" w:cs="Calibri" w:eastAsia="Calibri" w:hAnsi="Calibri"/>
          <w:sz w:val="21"/>
          <w:szCs w:val="21"/>
        </w:rPr>
        <w:t>19 Books not taught live — Treasury &amp; Tax, Payroll, Governance &amp; Disclosure, legal and compliance scope and more. Same format in the app, optional, yours to keep. Find them under By Part in the app menu, and in the Beyond the Core Library Index.</w:t>
      </w:r>
    </w:p>
    <w:p>
      <w:pPr>
        <w:spacing w:after="40" w:before="120" w:line="240"/>
      </w:pPr>
      <w:r>
        <w:rPr>
          <w:rFonts w:ascii="Calibri" w:cs="Calibri" w:eastAsia="Calibri" w:hAnsi="Calibri"/>
          <w:b/>
          <w:bCs/>
          <w:caps/>
          <w:color w:val="1F6B67"/>
          <w:sz w:val="20"/>
          <w:szCs w:val="20"/>
        </w:rPr>
        <w:t xml:space="preserve">I've used SAP before. Will this be obvious?</w:t>
      </w:r>
    </w:p>
    <w:p>
      <w:pPr>
        <w:spacing w:after="80" w:before="0" w:line="240"/>
      </w:pPr>
      <w:r>
        <w:rPr>
          <w:rFonts w:ascii="Calibri" w:cs="Calibri" w:eastAsia="Calibri" w:hAnsi="Calibri"/>
          <w:sz w:val="21"/>
          <w:szCs w:val="21"/>
        </w:rPr>
        <w:t xml:space="preserve">Some of it. But using SAP is not the same as understanding why its controls are built the way they are — or defending a conclusion to a reviewer.</w:t>
      </w:r>
    </w:p>
    <w:p>
      <w:pPr>
        <w:spacing w:after="40" w:before="120" w:line="240"/>
      </w:pPr>
      <w:r>
        <w:rPr>
          <w:rFonts w:ascii="Calibri" w:cs="Calibri" w:eastAsia="Calibri" w:hAnsi="Calibri"/>
          <w:b/>
          <w:bCs/>
          <w:caps/>
          <w:color w:val="1F6B67"/>
          <w:sz w:val="20"/>
          <w:szCs w:val="20"/>
        </w:rPr>
        <w:t>Can I do the course as self-study?</w:t>
      </w:r>
    </w:p>
    <w:p>
      <w:pPr>
        <w:spacing w:after="80" w:before="0" w:line="240"/>
      </w:pPr>
      <w:r>
        <w:rPr>
          <w:rFonts w:ascii="Calibri" w:cs="Calibri" w:eastAsia="Calibri" w:hAnsi="Calibri"/>
          <w:sz w:val="21"/>
          <w:szCs w:val="21"/>
        </w:rPr>
        <w:t>Yes. The Trainee User Guide gives you the same route session by session, and the Reading Packs follow the same order. Your workpapers, RCM, deficiency memo and stakeholder panel are still marked by TIB instructors — that is what earns the certificate.</w:t>
      </w:r>
    </w:p>
    <w:p>
      <w:pPr>
        <w:pStyle w:val="Heading1"/>
        <w:spacing w:after="100" w:before="240" w:line="240"/>
      </w:pPr>
      <w:r>
        <w:rPr>
          <w:rFonts w:ascii="Cambria" w:cs="Cambria" w:eastAsia="Cambria" w:hAnsi="Cambria"/>
          <w:b/>
          <w:bCs/>
          <w:color w:val="1B3358"/>
          <w:sz w:val="30"/>
          <w:szCs w:val="30"/>
        </w:rPr>
        <w:t xml:space="preserve">Where everything is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000"/>
        <w:gridCol w:w="7080"/>
      </w:tblGrid>
      <w:tr>
        <w:trPr>
          <w:tblHeader/>
        </w:trPr>
        <w:tc>
          <w:tcPr>
            <w:tcW w:type="dxa" w:w="3000"/>
            <w:tcBorders>
              <w:top w:val="single" w:color="D5DCE6" w:sz="4"/>
              <w:left w:val="single" w:color="D5DCE6" w:sz="4"/>
              <w:bottom w:val="single" w:color="D5DCE6" w:sz="4"/>
              <w:right w:val="single" w:color="D5DCE6" w:sz="4"/>
            </w:tcBorders>
            <w:shd w:fill="1B3358"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9"/>
                <w:szCs w:val="19"/>
              </w:rPr>
              <w:t xml:space="preserve">Folder</w:t>
            </w:r>
          </w:p>
        </w:tc>
        <w:tc>
          <w:tcPr>
            <w:tcW w:type="dxa" w:w="7080"/>
            <w:tcBorders>
              <w:top w:val="single" w:color="D5DCE6" w:sz="4"/>
              <w:left w:val="single" w:color="D5DCE6" w:sz="4"/>
              <w:bottom w:val="single" w:color="D5DCE6" w:sz="4"/>
              <w:right w:val="single" w:color="D5DCE6" w:sz="4"/>
            </w:tcBorders>
            <w:shd w:fill="1B3358"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9"/>
                <w:szCs w:val="19"/>
              </w:rPr>
              <w:t xml:space="preserve">Contents</w:t>
            </w:r>
          </w:p>
        </w:tc>
      </w:tr>
      <w:tr>
        <w:trPr>
          <w:cantSplit/>
        </w:trPr>
        <w:tc>
          <w:tcPr>
            <w:tcW w:type="dxa" w:w="300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9"/>
                <w:szCs w:val="19"/>
              </w:rPr>
              <w:t xml:space="preserve">00-start-here</w:t>
            </w:r>
          </w:p>
        </w:tc>
        <w:tc>
          <w:tcPr>
            <w:tcW w:type="dxa" w:w="708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9"/>
                <w:szCs w:val="19"/>
              </w:rPr>
              <w:t>Student Handbook · Trainee User Guide · Beyond the Core Library Index</w:t>
            </w:r>
          </w:p>
        </w:tc>
      </w:tr>
      <w:tr>
        <w:trPr>
          <w:cantSplit/>
        </w:trPr>
        <w:tc>
          <w:tcPr>
            <w:tcW w:type="dxa" w:w="3000"/>
            <w:tcBorders>
              <w:top w:val="single" w:color="D5DCE6" w:sz="4"/>
              <w:left w:val="single" w:color="D5DCE6" w:sz="4"/>
              <w:bottom w:val="single" w:color="D5DCE6" w:sz="4"/>
              <w:right w:val="single" w:color="D5DCE6" w:sz="4"/>
            </w:tcBorders>
            <w:shd w:fill="F5F8FC" w:color="auto" w:val="clear"/>
            <w:tcMar>
              <w:top w:type="dxa" w:w="60"/>
              <w:left w:type="dxa" w:w="100"/>
              <w:bottom w:type="dxa" w:w="60"/>
              <w:right w:type="dxa" w:w="100"/>
            </w:tcMar>
          </w:tcPr>
          <w:p>
            <w:pPr>
              <w:spacing w:after="0" w:before="0" w:line="240"/>
            </w:pPr>
            <w:r>
              <w:rPr>
                <w:rFonts w:ascii="Calibri" w:cs="Calibri" w:eastAsia="Calibri" w:hAnsi="Calibri"/>
                <w:b w:val="false"/>
                <w:bCs w:val="false"/>
                <w:sz w:val="19"/>
                <w:szCs w:val="19"/>
              </w:rPr>
              <w:t xml:space="preserve">01-pre-class</w:t>
            </w:r>
          </w:p>
        </w:tc>
        <w:tc>
          <w:tcPr>
            <w:tcW w:type="dxa" w:w="7080"/>
            <w:tcBorders>
              <w:top w:val="single" w:color="D5DCE6" w:sz="4"/>
              <w:left w:val="single" w:color="D5DCE6" w:sz="4"/>
              <w:bottom w:val="single" w:color="D5DCE6" w:sz="4"/>
              <w:right w:val="single" w:color="D5DCE6" w:sz="4"/>
            </w:tcBorders>
            <w:shd w:fill="F5F8FC" w:color="auto" w:val="clear"/>
            <w:tcMar>
              <w:top w:type="dxa" w:w="60"/>
              <w:left w:type="dxa" w:w="100"/>
              <w:bottom w:type="dxa" w:w="60"/>
              <w:right w:type="dxa" w:w="100"/>
            </w:tcMar>
          </w:tcPr>
          <w:p>
            <w:pPr>
              <w:spacing w:after="0" w:before="0" w:line="240"/>
            </w:pPr>
            <w:r>
              <w:rPr>
                <w:rFonts w:ascii="Calibri" w:cs="Calibri" w:eastAsia="Calibri" w:hAnsi="Calibri"/>
                <w:b w:val="false"/>
                <w:bCs w:val="false"/>
                <w:sz w:val="19"/>
                <w:szCs w:val="19"/>
              </w:rPr>
              <w:t xml:space="preserve">The three pre-class guides · Pre-Class Reading Plan</w:t>
            </w:r>
          </w:p>
        </w:tc>
      </w:tr>
      <w:tr>
        <w:trPr>
          <w:cantSplit/>
        </w:trPr>
        <w:tc>
          <w:tcPr>
            <w:tcW w:type="dxa" w:w="300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9"/>
                <w:szCs w:val="19"/>
              </w:rPr>
              <w:t xml:space="preserve">02-templates</w:t>
            </w:r>
          </w:p>
        </w:tc>
        <w:tc>
          <w:tcPr>
            <w:tcW w:type="dxa" w:w="708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9"/>
                <w:szCs w:val="19"/>
              </w:rPr>
              <w:t xml:space="preserve">Workpaper Template and Standard · Planning Card · Question Submission Template</w:t>
            </w:r>
          </w:p>
        </w:tc>
      </w:tr>
      <w:tr>
        <w:trPr>
          <w:cantSplit/>
        </w:trPr>
        <w:tc>
          <w:tcPr>
            <w:tcW w:type="dxa" w:w="3000"/>
            <w:tcBorders>
              <w:top w:val="single" w:color="D5DCE6" w:sz="4"/>
              <w:left w:val="single" w:color="D5DCE6" w:sz="4"/>
              <w:bottom w:val="single" w:color="D5DCE6" w:sz="4"/>
              <w:right w:val="single" w:color="D5DCE6" w:sz="4"/>
            </w:tcBorders>
            <w:shd w:fill="F5F8FC" w:color="auto" w:val="clear"/>
            <w:tcMar>
              <w:top w:type="dxa" w:w="60"/>
              <w:left w:type="dxa" w:w="100"/>
              <w:bottom w:type="dxa" w:w="60"/>
              <w:right w:type="dxa" w:w="100"/>
            </w:tcMar>
          </w:tcPr>
          <w:p>
            <w:pPr>
              <w:spacing w:after="0" w:before="0" w:line="240"/>
            </w:pPr>
            <w:r>
              <w:rPr>
                <w:rFonts w:ascii="Calibri" w:cs="Calibri" w:eastAsia="Calibri" w:hAnsi="Calibri"/>
                <w:b w:val="false"/>
                <w:bCs w:val="false"/>
                <w:sz w:val="19"/>
                <w:szCs w:val="19"/>
              </w:rPr>
              <w:t xml:space="preserve">03-reading-packs</w:t>
            </w:r>
          </w:p>
        </w:tc>
        <w:tc>
          <w:tcPr>
            <w:tcW w:type="dxa" w:w="7080"/>
            <w:tcBorders>
              <w:top w:val="single" w:color="D5DCE6" w:sz="4"/>
              <w:left w:val="single" w:color="D5DCE6" w:sz="4"/>
              <w:bottom w:val="single" w:color="D5DCE6" w:sz="4"/>
              <w:right w:val="single" w:color="D5DCE6" w:sz="4"/>
            </w:tcBorders>
            <w:shd w:fill="F5F8FC" w:color="auto" w:val="clear"/>
            <w:tcMar>
              <w:top w:type="dxa" w:w="60"/>
              <w:left w:type="dxa" w:w="100"/>
              <w:bottom w:type="dxa" w:w="60"/>
              <w:right w:type="dxa" w:w="100"/>
            </w:tcMar>
          </w:tcPr>
          <w:p>
            <w:pPr>
              <w:spacing w:after="0" w:before="0" w:line="240"/>
            </w:pPr>
            <w:r>
              <w:rPr>
                <w:rFonts w:ascii="Calibri" w:cs="Calibri" w:eastAsia="Calibri" w:hAnsi="Calibri"/>
                <w:b w:val="false"/>
                <w:bCs w:val="false"/>
                <w:sz w:val="19"/>
                <w:szCs w:val="19"/>
              </w:rPr>
              <w:t>Reading Packs — Intermediate Weeks 1–4 · Advanced Weeks 1–3</w:t>
            </w:r>
          </w:p>
        </w:tc>
      </w:tr>
      <w:tr>
        <w:trPr>
          <w:cantSplit/>
        </w:trPr>
        <w:tc>
          <w:tcPr>
            <w:tcW w:type="dxa" w:w="300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9"/>
                <w:szCs w:val="19"/>
              </w:rPr>
              <w:t xml:space="preserve">04-post-class</w:t>
            </w:r>
          </w:p>
        </w:tc>
        <w:tc>
          <w:tcPr>
            <w:tcW w:type="dxa" w:w="708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9"/>
                <w:szCs w:val="19"/>
              </w:rPr>
              <w:t xml:space="preserve">Post-class materials</w:t>
            </w:r>
          </w:p>
        </w:tc>
      </w:tr>
      <w:tr>
        <w:trPr>
          <w:cantSplit/>
        </w:trPr>
        <w:tc>
          <w:tcPr>
            <w:tcW w:type="dxa" w:w="3000"/>
            <w:tcBorders>
              <w:top w:val="single" w:color="D5DCE6" w:sz="4"/>
              <w:left w:val="single" w:color="D5DCE6" w:sz="4"/>
              <w:bottom w:val="single" w:color="D5DCE6" w:sz="4"/>
              <w:right w:val="single" w:color="D5DCE6" w:sz="4"/>
            </w:tcBorders>
            <w:shd w:fill="F5F8FC" w:color="auto" w:val="clear"/>
            <w:tcMar>
              <w:top w:type="dxa" w:w="60"/>
              <w:left w:type="dxa" w:w="100"/>
              <w:bottom w:type="dxa" w:w="60"/>
              <w:right w:type="dxa" w:w="100"/>
            </w:tcMar>
          </w:tcPr>
          <w:p>
            <w:pPr>
              <w:spacing w:after="0" w:before="0" w:line="240"/>
            </w:pPr>
            <w:r>
              <w:rPr>
                <w:rFonts w:ascii="Calibri" w:cs="Calibri" w:eastAsia="Calibri" w:hAnsi="Calibri"/>
                <w:b w:val="false"/>
                <w:bCs w:val="false"/>
                <w:sz w:val="19"/>
                <w:szCs w:val="19"/>
              </w:rPr>
              <w:t xml:space="preserve">05-assessment</w:t>
            </w:r>
          </w:p>
        </w:tc>
        <w:tc>
          <w:tcPr>
            <w:tcW w:type="dxa" w:w="7080"/>
            <w:tcBorders>
              <w:top w:val="single" w:color="D5DCE6" w:sz="4"/>
              <w:left w:val="single" w:color="D5DCE6" w:sz="4"/>
              <w:bottom w:val="single" w:color="D5DCE6" w:sz="4"/>
              <w:right w:val="single" w:color="D5DCE6" w:sz="4"/>
            </w:tcBorders>
            <w:shd w:fill="F5F8FC" w:color="auto" w:val="clear"/>
            <w:tcMar>
              <w:top w:type="dxa" w:w="60"/>
              <w:left w:type="dxa" w:w="100"/>
              <w:bottom w:type="dxa" w:w="60"/>
              <w:right w:type="dxa" w:w="100"/>
            </w:tcMar>
          </w:tcPr>
          <w:p>
            <w:pPr>
              <w:spacing w:after="0" w:before="0" w:line="240"/>
            </w:pPr>
            <w:r>
              <w:rPr>
                <w:rFonts w:ascii="Calibri" w:cs="Calibri" w:eastAsia="Calibri" w:hAnsi="Calibri"/>
                <w:b w:val="false"/>
                <w:bCs w:val="false"/>
                <w:sz w:val="19"/>
                <w:szCs w:val="19"/>
              </w:rPr>
              <w:t xml:space="preserve">Workpaper Briefs 1–3 · Midpoint RCM Exercise · Stakeholder Panel Brief</w:t>
            </w:r>
          </w:p>
        </w:tc>
      </w:tr>
    </w:tbl>
    <w:p>
      <w:pPr>
        <w:spacing w:after="60" w:before="0"/>
      </w:pPr>
    </w:p>
    <w:p>
      <w:pPr>
        <w:spacing w:after="80" w:before="0" w:line="240"/>
      </w:pPr>
      <w:r>
        <w:rPr>
          <w:rFonts w:ascii="Calibri" w:cs="Calibri" w:eastAsia="Calibri" w:hAnsi="Calibri"/>
          <w:sz w:val="21"/>
          <w:szCs w:val="21"/>
        </w:rPr>
        <w:t xml:space="preserve">Welcome on board. See you at session 1.</w:t>
      </w:r>
    </w:p>
    <w:sectPr>
      <w:headerReference w:type="default" r:id="rId6"/>
      <w:footerReference w:type="default" r:id="rId7"/>
      <w:pgSz w:w="12240" w:h="15840" w:orient="portrait"/>
      <w:pgMar w:top="1000" w:right="1080" w:bottom="1000" w:left="108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jc w:val="right"/>
    </w:pPr>
    <w:r>
      <w:rPr>
        <w:rFonts w:ascii="Calibri" w:cs="Calibri" w:eastAsia="Calibri" w:hAnsi="Calibri"/>
        <w:color w:val="6B7A90"/>
        <w:sz w:val="16"/>
        <w:szCs w:val="16"/>
      </w:rPr>
      <w:t xml:space="preserve">Page </w:t>
    </w:r>
    <w:r>
      <w:rPr>
        <w:rFonts w:ascii="Calibri" w:cs="Calibri" w:eastAsia="Calibri" w:hAnsi="Calibri"/>
        <w:color w:val="6B7A9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B3358" w:sz="6" w:space="4"/>
      </w:pBdr>
      <w:spacing w:after="0"/>
    </w:pPr>
    <w:r>
      <w:rPr>
        <w:rFonts w:ascii="Calibri" w:cs="Calibri" w:eastAsia="Calibri" w:hAnsi="Calibri"/>
        <w:b/>
        <w:bCs/>
        <w:color w:val="1B3358"/>
        <w:sz w:val="16"/>
        <w:szCs w:val="16"/>
      </w:rPr>
      <w:t xml:space="preserve">TIB SYSTEMS  ·  THE FULL SWEEP  ·  </w:t>
    </w:r>
    <w:r>
      <w:rPr>
        <w:rFonts w:ascii="Calibri" w:cs="Calibri" w:eastAsia="Calibri" w:hAnsi="Calibri"/>
        <w:color w:val="6B7A90"/>
        <w:sz w:val="16"/>
        <w:szCs w:val="16"/>
      </w:rPr>
      <w:t xml:space="preserve">TIB-FS-STU-001  ·  Trainee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40"/>
      </w:pPr>
    </w:lvl>
    <w:lvl w:ilvl="1" w:tentative="1">
      <w:start w:val="1"/>
      <w:numFmt w:val="bullet"/>
      <w:lvlText w:val="–"/>
      <w:lvlJc w:val="left"/>
      <w:pPr>
        <w:ind w:left="720" w:hanging="240"/>
      </w:pPr>
    </w:lvl>
  </w:abstractNum>
  <w:abstractNum w:abstractNumId="3" w15:restartNumberingAfterBreak="0">
    <w:multiLevelType w:val="hybridMultilevel"/>
    <w:lvl w:ilvl="0" w:tentative="1">
      <w:start w:val="1"/>
      <w:numFmt w:val="decimal"/>
      <w:lvlText w:val="%1."/>
      <w:lvlJc w:val="left"/>
      <w:pPr>
        <w:ind w:left="36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after="80" w:before="0" w:line="240"/>
      </w:pPr>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00" w:before="240"/>
      <w:outlineLvl w:val="0"/>
    </w:pPr>
    <w:rPr>
      <w:rFonts w:ascii="Cambria" w:cs="Cambria" w:eastAsia="Cambria" w:hAnsi="Cambria"/>
      <w:b/>
      <w:bCs/>
      <w:color w:val="1B3358"/>
      <w:sz w:val="30"/>
      <w:szCs w:val="30"/>
    </w:rPr>
  </w:style>
  <w:style w:type="paragraph" w:styleId="Heading2">
    <w:name w:val="Heading 2"/>
    <w:basedOn w:val="Normal"/>
    <w:next w:val="Normal"/>
    <w:qFormat/>
    <w:pPr>
      <w:spacing w:after="80" w:before="180"/>
      <w:outlineLvl w:val="1"/>
    </w:pPr>
    <w:rPr>
      <w:rFonts w:ascii="Cambria" w:cs="Cambria" w:eastAsia="Cambria" w:hAnsi="Cambria"/>
      <w:b/>
      <w:bCs/>
      <w:color w:val="1B3358"/>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Student Handbook V2</dc:title>
  <dc:creator>TIB Systems LLC</dc:creator>
  <cp:lastModifiedBy>Un-named</cp:lastModifiedBy>
  <cp:revision>1</cp:revision>
  <dcterms:created xsi:type="dcterms:W3CDTF">2026-10-21T18:06:21.087Z</dcterms:created>
  <dcterms:modified xsi:type="dcterms:W3CDTF">2026-10-21T18:06:21.087Z</dcterms:modified>
</cp:coreProperties>
</file>

<file path=docProps/custom.xml><?xml version="1.0" encoding="utf-8"?>
<Properties xmlns="http://schemas.openxmlformats.org/officeDocument/2006/custom-properties" xmlns:vt="http://schemas.openxmlformats.org/officeDocument/2006/docPropsVTypes"/>
</file>