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Pre-Class</w:t>
      </w:r>
      <w:r>
        <w:t xml:space="preserve"> </w:t>
      </w:r>
      <w:r>
        <w:t xml:space="preserve">Reading</w:t>
      </w:r>
      <w:r>
        <w:t xml:space="preserve"> </w:t>
      </w:r>
      <w:r>
        <w:t xml:space="preserve">Plan</w:t>
      </w:r>
    </w:p>
    <w:p>
      <w:pPr>
        <w:pStyle w:val="Subtitle"/>
      </w:pPr>
      <w:r>
        <w:t xml:space="preserve">One</w:t>
      </w:r>
      <w:r>
        <w:t xml:space="preserve"> </w:t>
      </w:r>
      <w:r>
        <w:t xml:space="preserve">week,</w:t>
      </w:r>
      <w:r>
        <w:t xml:space="preserve"> </w:t>
      </w:r>
      <w:r>
        <w:t xml:space="preserve">three</w:t>
      </w:r>
      <w:r>
        <w:t xml:space="preserve"> </w:t>
      </w:r>
      <w:r>
        <w:t xml:space="preserve">guides</w:t>
      </w:r>
      <w:r>
        <w:t xml:space="preserve"> </w:t>
      </w:r>
      <w:r>
        <w:t xml:space="preserve">—</w:t>
      </w:r>
      <w:r>
        <w:t xml:space="preserve"> </w:t>
      </w:r>
      <w:r>
        <w:t xml:space="preserve">what</w:t>
      </w:r>
      <w:r>
        <w:t xml:space="preserve"> </w:t>
      </w:r>
      <w:r>
        <w:t xml:space="preserve">to</w:t>
      </w:r>
      <w:r>
        <w:t xml:space="preserve"> </w:t>
      </w:r>
      <w:r>
        <w:t xml:space="preserve">read,</w:t>
      </w:r>
      <w:r>
        <w:t xml:space="preserve"> </w:t>
      </w:r>
      <w:r>
        <w:t xml:space="preserve">in</w:t>
      </w:r>
      <w:r>
        <w:t xml:space="preserve"> </w:t>
      </w:r>
      <w:r>
        <w:t xml:space="preserve">what</w:t>
      </w:r>
      <w:r>
        <w:t xml:space="preserve"> </w:t>
      </w:r>
      <w:r>
        <w:t xml:space="preserve">order,</w:t>
      </w:r>
      <w:r>
        <w:t xml:space="preserve"> </w:t>
      </w:r>
      <w:r>
        <w:t xml:space="preserve">and</w:t>
      </w:r>
      <w:r>
        <w:t xml:space="preserve"> </w:t>
      </w:r>
      <w:r>
        <w:t xml:space="preserve">how</w:t>
      </w:r>
    </w:p>
    <w:p>
      <w:pPr>
        <w:pStyle w:val="Author"/>
      </w:pPr>
      <w:r>
        <w:t xml:space="preserve">SAP</w:t>
      </w:r>
      <w:r>
        <w:t xml:space="preserve"> </w:t>
      </w:r>
      <w:r>
        <w:t xml:space="preserve">SOX</w:t>
      </w:r>
      <w:r>
        <w:t xml:space="preserve"> </w:t>
      </w:r>
      <w:r>
        <w:t xml:space="preserve">/</w:t>
      </w:r>
      <w:r>
        <w:t xml:space="preserve"> </w:t>
      </w:r>
      <w:r>
        <w:t xml:space="preserve">ITGC</w:t>
      </w:r>
      <w:r>
        <w:t xml:space="preserve"> </w:t>
      </w:r>
      <w:r>
        <w:t xml:space="preserve">Controls</w:t>
      </w:r>
      <w:r>
        <w:t xml:space="preserve"> </w:t>
      </w:r>
      <w:r>
        <w:t xml:space="preserve">—</w:t>
      </w:r>
      <w:r>
        <w:t xml:space="preserve"> </w:t>
      </w:r>
      <w:r>
        <w:t xml:space="preserve">Course</w:t>
      </w:r>
      <w:r>
        <w:t xml:space="preserve"> </w:t>
      </w:r>
      <w:r>
        <w:t xml:space="preserve">1</w:t>
      </w:r>
      <w:r>
        <w:t xml:space="preserve"> </w:t>
      </w:r>
      <w:r>
        <w:t xml:space="preserve">·</w:t>
      </w:r>
      <w:r>
        <w:t xml:space="preserve"> </w:t>
      </w:r>
      <w:r>
        <w:t xml:space="preserve">Read</w:t>
      </w:r>
      <w:r>
        <w:t xml:space="preserve"> </w:t>
      </w:r>
      <w:r>
        <w:t xml:space="preserve">at</w:t>
      </w:r>
      <w:r>
        <w:t xml:space="preserve"> </w:t>
      </w:r>
      <w:r>
        <w:t xml:space="preserve">your</w:t>
      </w:r>
      <w:r>
        <w:t xml:space="preserve"> </w:t>
      </w:r>
      <w:r>
        <w:t xml:space="preserve">own</w:t>
      </w:r>
      <w:r>
        <w:t xml:space="preserve"> </w:t>
      </w:r>
      <w:r>
        <w:t xml:space="preserve">speed</w:t>
      </w:r>
    </w:p>
    <w:bookmarkStart w:id="21" w:name="how-to-use-this"/>
    <w:p>
      <w:pPr>
        <w:pStyle w:val="Heading1"/>
      </w:pPr>
      <w:r>
        <w:t xml:space="preserve">How to use this</w:t>
      </w:r>
    </w:p>
    <w:p>
      <w:pPr>
        <w:pStyle w:val="FirstParagraph"/>
      </w:pPr>
      <w:r>
        <w:t xml:space="preserve">You have three guides and about</w:t>
      </w:r>
      <w:r>
        <w:t xml:space="preserve"> </w:t>
      </w:r>
      <w:r>
        <w:rPr>
          <w:bCs/>
          <w:b/>
        </w:rPr>
        <w:t xml:space="preserve">35,000 words</w:t>
      </w:r>
      <w:r>
        <w:t xml:space="preserve">. That looks like a lot. Spread across a week it is</w:t>
      </w:r>
      <w:r>
        <w:t xml:space="preserve"> </w:t>
      </w:r>
      <w:r>
        <w:rPr>
          <w:bCs/>
          <w:b/>
        </w:rPr>
        <w:t xml:space="preserve">an hour or so a day.</w:t>
      </w:r>
    </w:p>
    <w:p>
      <w:pPr>
        <w:pStyle w:val="BodyText"/>
      </w:pPr>
      <w:r>
        <w:rPr>
          <w:bCs/>
          <w:b/>
        </w:rPr>
        <w:t xml:space="preserve">Read at your own speed.</w:t>
      </w:r>
      <w:r>
        <w:t xml:space="preserve"> </w:t>
      </w:r>
      <w:r>
        <w:t xml:space="preserve">There is no daily schedule you have to keep to. The plan below is a suggested order, not a timetable — if you get through Guide 1 in two evenings, move on.</w:t>
      </w:r>
    </w:p>
    <w:p>
      <w:pPr>
        <w:pStyle w:val="BodyText"/>
      </w:pPr>
      <w:r>
        <w:rPr>
          <w:bCs/>
          <w:b/>
        </w:rPr>
        <w:t xml:space="preserve">But two things are worth doing in order.</w:t>
      </w:r>
    </w:p>
    <w:p>
      <w:pPr>
        <w:pStyle w:val="BodyText"/>
      </w:pPr>
      <w:r>
        <w:rPr>
          <w:bCs/>
          <w:b/>
        </w:rPr>
        <w:t xml:space="preserve">Read the glossary at the back of each guide before you read the guide.</w:t>
      </w:r>
      <w:r>
        <w:t xml:space="preserve"> </w:t>
      </w:r>
      <w:r>
        <w:t xml:space="preserve">Quickly, five minutes, no effort to memorise. You are making the words familiar so they do not stop you later.</w:t>
      </w:r>
    </w:p>
    <w:p>
      <w:pPr>
        <w:pStyle w:val="BodyText"/>
      </w:pPr>
      <w:r>
        <w:rPr>
          <w:bCs/>
          <w:b/>
        </w:rPr>
        <w:t xml:space="preserve">Read Guide 1 before Guide 2, and Guide 3 last.</w:t>
      </w:r>
      <w:r>
        <w:t xml:space="preserve"> </w:t>
      </w:r>
      <w:r>
        <w:t xml:space="preserve">Guide 1 builds the picture the other two sit on. Guide 3 only makes sense once you have the pieces.</w:t>
      </w:r>
    </w:p>
    <w:bookmarkStart w:id="20" w:name="questions-whatsapp-any-time"/>
    <w:p>
      <w:pPr>
        <w:pStyle w:val="Heading2"/>
      </w:pPr>
      <w:r>
        <w:t xml:space="preserve">Questions — WhatsApp, any time</w:t>
      </w:r>
    </w:p>
    <w:p>
      <w:pPr>
        <w:pStyle w:val="FirstParagraph"/>
      </w:pPr>
      <w:r>
        <w:rPr>
          <w:bCs/>
          <w:b/>
        </w:rPr>
        <w:t xml:space="preserve">Do not save them up.</w:t>
      </w:r>
      <w:r>
        <w:t xml:space="preserve"> </w:t>
      </w:r>
      <w:r>
        <w:t xml:space="preserve">If something has you stuck on page four, you will lose the whole evening to it. Message, and keep reading.</w:t>
      </w:r>
    </w:p>
    <w:p>
      <w:pPr>
        <w:pStyle w:val="BodyText"/>
      </w:pPr>
      <w:r>
        <w:rPr>
          <w:bCs/>
          <w:b/>
        </w:rPr>
        <w:t xml:space="preserve">Specific questions get better answers.</w:t>
      </w:r>
      <w:r>
        <w:t xml:space="preserve"> </w:t>
      </w:r>
      <w:r>
        <w:t xml:space="preserve">“</w:t>
      </w:r>
      <w:r>
        <w:t xml:space="preserve">I didn’t understand chapter 5</w:t>
      </w:r>
      <w:r>
        <w:t xml:space="preserve">”</w:t>
      </w:r>
      <w:r>
        <w:t xml:space="preserve"> </w:t>
      </w:r>
      <w:r>
        <w:t xml:space="preserve">could mean six things.</w:t>
      </w:r>
      <w:r>
        <w:t xml:space="preserve"> </w:t>
      </w:r>
      <w:r>
        <w:t xml:space="preserve">“</w:t>
      </w:r>
      <w:r>
        <w:t xml:space="preserve">Chapter 5, the part about relational tables — who decides the table names?</w:t>
      </w:r>
      <w:r>
        <w:t xml:space="preserve">”</w:t>
      </w:r>
      <w:r>
        <w:t xml:space="preserve"> </w:t>
      </w:r>
      <w:r>
        <w:t xml:space="preserve">gets you an answer in two minutes.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six-habits-use-these-on-every-chapter"/>
    <w:p>
      <w:pPr>
        <w:pStyle w:val="Heading1"/>
      </w:pPr>
      <w:r>
        <w:t xml:space="preserve">Six habits — use these on every chapter</w:t>
      </w:r>
    </w:p>
    <w:p>
      <w:pPr>
        <w:pStyle w:val="FirstParagraph"/>
      </w:pPr>
      <w:r>
        <w:rPr>
          <w:bCs/>
          <w:b/>
        </w:rPr>
        <w:t xml:space="preserve">1. Read for the shape first.</w:t>
      </w:r>
      <w:r>
        <w:t xml:space="preserve"> </w:t>
      </w:r>
      <w:r>
        <w:t xml:space="preserve">Before reading a chapter properly, spend two minutes reading only its headings and its tables. You’re building a frame to hang detail on. Detail with no frame slides straight off.</w:t>
      </w:r>
    </w:p>
    <w:p>
      <w:pPr>
        <w:pStyle w:val="BodyText"/>
      </w:pPr>
      <w:r>
        <w:rPr>
          <w:bCs/>
          <w:b/>
        </w:rPr>
        <w:t xml:space="preserve">2. Do not stop at every unknown word.</w:t>
      </w:r>
      <w:r>
        <w:t xml:space="preserve"> </w:t>
      </w:r>
      <w:r>
        <w:t xml:space="preserve">This is the single biggest mistake. You hit an unfamiliar term, you stop, you look it up, you lose the thread — and forty minutes later you’ve read two pages.</w:t>
      </w:r>
      <w:r>
        <w:t xml:space="preserve"> </w:t>
      </w:r>
      <w:r>
        <w:rPr>
          <w:bCs/>
          <w:b/>
        </w:rPr>
        <w:t xml:space="preserve">Underline it and keep going.</w:t>
      </w:r>
      <w:r>
        <w:t xml:space="preserve"> </w:t>
      </w:r>
      <w:r>
        <w:t xml:space="preserve">Half of them get defined two paragraphs later.</w:t>
      </w:r>
    </w:p>
    <w:p>
      <w:pPr>
        <w:pStyle w:val="BodyText"/>
      </w:pPr>
      <w:r>
        <w:rPr>
          <w:bCs/>
          <w:b/>
        </w:rPr>
        <w:t xml:space="preserve">3. Read the glossary first.</w:t>
      </w:r>
      <w:r>
        <w:t xml:space="preserve"> </w:t>
      </w:r>
      <w:r>
        <w:t xml:space="preserve">Every guide has one at the back. Read it before chapter one, quickly, with no effort to memorise. You’re making the words familiar, not learning them.</w:t>
      </w:r>
    </w:p>
    <w:p>
      <w:pPr>
        <w:pStyle w:val="BodyText"/>
      </w:pPr>
      <w:r>
        <w:rPr>
          <w:bCs/>
          <w:b/>
        </w:rPr>
        <w:t xml:space="preserve">4. Not all chapters are equal.</w:t>
      </w:r>
      <w:r>
        <w:t xml:space="preserve"> </w:t>
      </w:r>
      <w:r>
        <w:t xml:space="preserve">Three carry the weight. They’re named below. Read those slowly, twice. Read the rest once, at pace, without guilt.</w:t>
      </w:r>
    </w:p>
    <w:p>
      <w:pPr>
        <w:pStyle w:val="BodyText"/>
      </w:pPr>
      <w:r>
        <w:rPr>
          <w:bCs/>
          <w:b/>
        </w:rPr>
        <w:t xml:space="preserve">5. Turn every concept into a question.</w:t>
      </w:r>
      <w:r>
        <w:t xml:space="preserve"> </w:t>
      </w:r>
      <w:r>
        <w:t xml:space="preserve">Ask: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question would this let me put to a client?</w:t>
      </w:r>
      <w:r>
        <w:rPr>
          <w:iCs/>
          <w:i/>
        </w:rPr>
        <w:t xml:space="preserve">”</w:t>
      </w:r>
      <w:r>
        <w:t xml:space="preserve"> </w:t>
      </w:r>
      <w:r>
        <w:t xml:space="preserve">You read that users never touch the database directly — turn it into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who has direct database access here, and how would you know if they’d used it?</w:t>
      </w:r>
      <w:r>
        <w:rPr>
          <w:iCs/>
          <w:i/>
        </w:rPr>
        <w:t xml:space="preserve">”</w:t>
      </w:r>
      <w:r>
        <w:t xml:space="preserve"> </w:t>
      </w:r>
      <w:r>
        <w:t xml:space="preserve">Now it’s a tool, not a fact you’re trying to hold.</w:t>
      </w:r>
    </w:p>
    <w:p>
      <w:pPr>
        <w:pStyle w:val="BodyText"/>
      </w:pPr>
      <w:r>
        <w:rPr>
          <w:bCs/>
          <w:b/>
        </w:rPr>
        <w:t xml:space="preserve">6. Write down what confused you, specifically.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I didn’t get chapter 5.</w:t>
      </w:r>
      <w:r>
        <w:t xml:space="preserve">”</w:t>
      </w:r>
      <w:r>
        <w:t xml:space="preserve"> </w:t>
      </w:r>
      <w:r>
        <w:t xml:space="preserve">The chapter, the paragraph, and what you expected it to say. That’s a question that can be answered.</w:t>
      </w:r>
      <w:r>
        <w:t xml:space="preserve"> </w:t>
      </w:r>
      <w:r>
        <w:t xml:space="preserve">“</w:t>
      </w:r>
      <w:r>
        <w:t xml:space="preserve">It was hard</w:t>
      </w:r>
      <w:r>
        <w:t xml:space="preserve">”</w:t>
      </w:r>
      <w:r>
        <w:t xml:space="preserve"> </w:t>
      </w:r>
      <w:r>
        <w:t xml:space="preserve">isn’t.</w:t>
      </w:r>
    </w:p>
    <w:bookmarkStart w:id="22" w:name="and-the-one-that-matters-most"/>
    <w:p>
      <w:pPr>
        <w:pStyle w:val="Heading2"/>
      </w:pPr>
      <w:r>
        <w:t xml:space="preserve">And the one that matters most</w:t>
      </w:r>
    </w:p>
    <w:p>
      <w:pPr>
        <w:pStyle w:val="FirstParagraph"/>
      </w:pPr>
      <w:r>
        <w:rPr>
          <w:bCs/>
          <w:b/>
        </w:rPr>
        <w:t xml:space="preserve">You are not reading to remember it. You are reading so that when you meet it in the main course, it is the second time — not the first.</w:t>
      </w:r>
    </w:p>
    <w:p>
      <w:pPr>
        <w:pStyle w:val="BodyText"/>
      </w:pPr>
      <w:r>
        <w:t xml:space="preserve">Nobody expects you to retain 35,000 words.</w:t>
      </w:r>
      <w:r>
        <w:t xml:space="preserve"> </w:t>
      </w:r>
      <w:r>
        <w:rPr>
          <w:bCs/>
          <w:b/>
        </w:rPr>
        <w:t xml:space="preserve">Familiarity is the target, not recall.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the-three-chapters-that-carry-the-weight"/>
    <w:p>
      <w:pPr>
        <w:pStyle w:val="Heading1"/>
      </w:pPr>
      <w:r>
        <w:t xml:space="preserve">The three chapters that carry the weight</w:t>
      </w:r>
    </w:p>
    <w:p>
      <w:pPr>
        <w:pStyle w:val="FirstParagraph"/>
      </w:pPr>
      <w:r>
        <w:t xml:space="preserve">If the week gets away from you, read these three properly and skim everything else. That is a far better outcome than reading all of it in a panic and retaining none.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3960"/>
        <w:gridCol w:w="396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Chapter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 1, Chapter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journey from keystroke to database. Everything about how SAP enforces anything comes from here.</w:t>
            </w:r>
            <w:r>
              <w:t xml:space="preserve"> </w:t>
            </w:r>
            <w:r>
              <w:rPr>
                <w:bCs/>
                <w:b/>
              </w:rPr>
              <w:t xml:space="preserve">Read it twice</w:t>
            </w:r>
            <w:r>
              <w:t xml:space="preserve"> </w:t>
            </w:r>
            <w:r>
              <w:t xml:space="preserve">— the second read is where it clicks.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 2, Chapter 10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How access is granted, end to end. The process you will spend your career testing — and the step where segregation of duties gets checked is the step that gets skipped when everyone’s busy.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Guide 2, Chapter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controls audit process, end to end. The closest thing in all three guides to a description of your actual job.</w:t>
            </w:r>
            <w:r>
              <w:t xml:space="preserve"> </w:t>
            </w:r>
            <w:r>
              <w:rPr>
                <w:bCs/>
                <w:b/>
              </w:rPr>
              <w:t xml:space="preserve">Read it again at the end of the week.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6" w:name="a-suggested-order"/>
    <w:p>
      <w:pPr>
        <w:pStyle w:val="Heading1"/>
      </w:pPr>
      <w:r>
        <w:t xml:space="preserve">A suggested order</w:t>
      </w:r>
    </w:p>
    <w:p>
      <w:pPr>
        <w:pStyle w:val="FirstParagraph"/>
      </w:pPr>
      <w:r>
        <w:rPr>
          <w:bCs/>
          <w:b/>
        </w:rPr>
        <w:t xml:space="preserve">Seven sittings, an hour or so each.</w:t>
      </w:r>
      <w:r>
        <w:t xml:space="preserve"> </w:t>
      </w:r>
      <w:r>
        <w:t xml:space="preserve">Compress it or spread it out as suits you.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2640"/>
        <w:gridCol w:w="2640"/>
        <w:gridCol w:w="264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</w:pP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Read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Roughly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glossaries, then Guide 1 chapters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min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Guide 1, chapters 4–6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60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1, chapter 7 —</w:t>
            </w:r>
            <w:r>
              <w:t xml:space="preserve"> </w:t>
            </w:r>
            <w:r>
              <w:rPr>
                <w:bCs/>
                <w:b/>
              </w:rPr>
              <w:t xml:space="preserve">slowly, twice.</w:t>
            </w:r>
            <w:r>
              <w:t xml:space="preserve"> </w:t>
            </w:r>
            <w:r>
              <w:t xml:space="preserve">Then 8–9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Guide 2, Part A (chapters 1–3)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75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2, Part B (4–9) at pace. Then Part C (10–11)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Guide 2, Part D (12–13) — slowly. Then Guide 3, chapter 1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75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 3, chapters 2–6. Skim 7. Then chapter 8, last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min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Then, at the end:</w:t>
      </w:r>
      <w:r>
        <w:t xml:space="preserve"> </w:t>
      </w:r>
      <w:r>
        <w:t xml:space="preserve">the three readiness checklists. About 45 minutes, and it is the step people skip. Don’t — it is the only thing that tells you what you actually absorbed.</w:t>
      </w:r>
    </w:p>
    <w:bookmarkStart w:id="25" w:name="if-the-week-gets-away-from-you"/>
    <w:p>
      <w:pPr>
        <w:pStyle w:val="Heading2"/>
      </w:pPr>
      <w:r>
        <w:t xml:space="preserve">If the week gets away from you</w:t>
      </w:r>
    </w:p>
    <w:p>
      <w:pPr>
        <w:pStyle w:val="FirstParagraph"/>
      </w:pPr>
      <w:r>
        <w:rPr>
          <w:bCs/>
          <w:b/>
        </w:rPr>
        <w:t xml:space="preserve">Read these three chapters properly and skim everything else:</w:t>
      </w:r>
    </w:p>
    <w:p>
      <w:pPr>
        <w:pStyle w:val="BodyText"/>
      </w:pPr>
      <w:r>
        <w:rPr>
          <w:bCs/>
          <w:b/>
        </w:rPr>
        <w:t xml:space="preserve">Guide 1, chapter 7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Guide 2, chapter 10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Guide 2, chapter 13</w:t>
      </w:r>
    </w:p>
    <w:p>
      <w:pPr>
        <w:pStyle w:val="BodyText"/>
      </w:pPr>
      <w:r>
        <w:t xml:space="preserve">That is a far better outcome than reading all 35,000 words in a panic and retaining none of it.</w:t>
      </w:r>
    </w:p>
    <w:p>
      <w:pPr>
        <w:pStyle w:val="BodyText"/>
      </w:pPr>
      <w:r>
        <w:rPr>
          <w:bCs/>
          <w:b/>
        </w:rPr>
        <w:t xml:space="preserve">And if you fall further behind still:</w:t>
      </w:r>
      <w:r>
        <w:t xml:space="preserve"> </w:t>
      </w:r>
      <w:r>
        <w:t xml:space="preserve">drop Guide 3, chapters 2 to 7. Keep everything else. Guide 3 can be rescued in an hour in class. Guides 1 and 2 cannot.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10eb745e4e4584134af00c15fa150d28e7541ac"/>
    <w:p>
      <w:pPr>
        <w:pStyle w:val="Heading1"/>
      </w:pPr>
      <w:r>
        <w:t xml:space="preserve">Guide 1 · PREREQ-001 · SAP Foundations Primer</w:t>
      </w:r>
    </w:p>
    <w:p>
      <w:pPr>
        <w:pStyle w:val="FirstParagraph"/>
      </w:pPr>
      <w:r>
        <w:rPr>
          <w:bCs/>
          <w:b/>
        </w:rPr>
        <w:t xml:space="preserve">About 8,000 words. The shortest of the three, and the one to read first.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2640"/>
        <w:gridCol w:w="2640"/>
        <w:gridCol w:w="264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Chapters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they do for you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How to read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–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big picture, the three-tier architecture, and the client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pace. You already have the picture from the session.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 – 6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Each layer in depth — application server, database, and how they talk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Steady. Chapter 5 has table names — skim rather than memorise.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journey from keystroke to database and 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Slowly. Twice.</w:t>
            </w:r>
            <w:r>
              <w:t xml:space="preserve"> </w:t>
            </w:r>
            <w:r>
              <w:t xml:space="preserve">The guide itself says don’t skim it, and it’s right.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What a T-code really is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At pace. Short, and it will click.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all of it matters — the bridge from architecture to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Properly. This chapter explains why you read the other eight.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– 11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Glossary, and the readiness checklist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Glossary FIRST, before chapter 1. Checklist at the end.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58505108e17c82bda038823d4ce875a3c17a286"/>
    <w:p>
      <w:pPr>
        <w:pStyle w:val="Heading1"/>
      </w:pPr>
      <w:r>
        <w:t xml:space="preserve">Guide 2 · PREREQ-002 · SAP Security, Controls &amp; Compliance</w:t>
      </w:r>
    </w:p>
    <w:p>
      <w:pPr>
        <w:pStyle w:val="FirstParagraph"/>
      </w:pPr>
      <w:r>
        <w:rPr>
          <w:bCs/>
          <w:b/>
        </w:rPr>
        <w:t xml:space="preserve">About 13,000 words, organised into five parts.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1980"/>
        <w:gridCol w:w="1980"/>
        <w:gridCol w:w="1980"/>
        <w:gridCol w:w="198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Part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Ch.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does for you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How to read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SAP Security is, how it works, and its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Properly. Chapter 3 is a reference table — recognise the words, don’t memorise them.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4–9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Hands on. Logging in, navigating, sessions, shortcuts, exporting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At pace — and come back to it in lab week.</w:t>
            </w:r>
            <w:r>
              <w:t xml:space="preserve"> </w:t>
            </w:r>
            <w:r>
              <w:rPr>
                <w:bCs/>
                <w:b/>
              </w:rPr>
              <w:t xml:space="preserve">Menu paths get looked up. Don’t memorise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access is granted end to end</w:t>
            </w:r>
            <w:r>
              <w:t xml:space="preserve">, and how security logic flows from login to 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Slowly.</w:t>
            </w:r>
            <w:r>
              <w:t xml:space="preserve"> </w:t>
            </w:r>
            <w:r>
              <w:t xml:space="preserve">Chapter 10 is the process a controls auditor comes back to test.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12–13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Why controls exist, and</w:t>
            </w:r>
            <w:r>
              <w:t xml:space="preserve"> </w:t>
            </w:r>
            <w:r>
              <w:rPr>
                <w:bCs/>
                <w:b/>
              </w:rPr>
              <w:t xml:space="preserve">how a controls audit actually runs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Slowly.</w:t>
            </w:r>
            <w:r>
              <w:t xml:space="preserve"> </w:t>
            </w:r>
            <w:r>
              <w:t xml:space="preserve">Chapter 13 is the closest thing to a description of your job.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 and readiness 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Glossary first. Checklist last.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X4270f0d0716301ab68e69d11f7d29137c272c2a"/>
    <w:p>
      <w:pPr>
        <w:pStyle w:val="Heading1"/>
      </w:pPr>
      <w:r>
        <w:t xml:space="preserve">Guide 3 · PREREQ-003 · The SAP Application Landscape</w:t>
      </w:r>
    </w:p>
    <w:p>
      <w:pPr>
        <w:pStyle w:val="FirstParagraph"/>
      </w:pPr>
      <w:r>
        <w:rPr>
          <w:bCs/>
          <w:b/>
        </w:rPr>
        <w:t xml:space="preserve">About 13,000 words. Read this one last.</w:t>
      </w:r>
    </w:p>
    <w:tbl>
      <w:tblPr>
        <w:tblStyle w:val="Table"/>
        <w:tblW w:type="pct" w:w="5000"/>
        <w:tblLook w:firstRow="1" w:lastRow="0" w:firstColumn="0" w:lastColumn="0" w:noHBand="0" w:noVBand="1" w:val="04A0"/>
        <w:jc w:val="start"/>
      </w:tblPr>
      <w:tblGrid>
        <w:gridCol w:w="2640"/>
        <w:gridCol w:w="2640"/>
        <w:gridCol w:w="2640"/>
      </w:tblGrid>
      <w:tr>
        <w:trPr>
          <w:tblHeader/>
          <w:tblHeader w:val="true"/>
        </w:trPr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Chapters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they do for you</w:t>
            </w:r>
          </w:p>
        </w:tc>
        <w:tc>
          <w:tcPr>
            <w:shd w:val="clear" w:color="auto" w:fill="1B3358"/>
          </w:tcPr>
          <w:tcPr/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How to read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 of the whole landscape before zooming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Properly. It frames everything after it.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– 5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S/4HANA, the GRC suite, Fiori, BTP — one each, all using the three-question pattern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At pace, using the three questions.</w:t>
            </w:r>
            <w:r>
              <w:t xml:space="preserve"> </w:t>
            </w:r>
            <w:r>
              <w:rPr>
                <w:bCs/>
                <w:b/>
              </w:rPr>
              <w:t xml:space="preserve">Chapter 3 (GRC) is the one you’ll use most.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security fundamentals, including the shared responsibility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Properly. That model comes up constantly in real engagements.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The rest of the ecosystem — other SAP applications and third-party tools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Skim.</w:t>
            </w:r>
            <w:r>
              <w:t xml:space="preserve"> </w:t>
            </w:r>
            <w:r>
              <w:t xml:space="preserve">Recognition, not memorisation. Nobody expects you to know these.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it all fits together, end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Properly — and</w:t>
            </w:r>
            <w:r>
              <w:t xml:space="preserve"> </w:t>
            </w:r>
            <w:r>
              <w:rPr>
                <w:bCs/>
                <w:b/>
              </w:rPr>
              <w:t xml:space="preserve">read it last.</w:t>
            </w:r>
            <w:r>
              <w:t xml:space="preserve"> </w:t>
            </w:r>
            <w:r>
              <w:t xml:space="preserve">It only works once you have the pieces.</w:t>
            </w:r>
          </w:p>
        </w:tc>
      </w:tr>
      <w:tr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 – 10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Glossary and readiness checklist</w:t>
            </w:r>
          </w:p>
        </w:tc>
        <w:tc>
          <w:tcPr>
            <w:shd w:val="clear" w:color="auto" w:fill="F5F8FC"/>
          </w:tcPr>
          <w:tcPr/>
          <w:p>
            <w:pPr>
              <w:pStyle w:val="Compact"/>
              <w:jc w:val="left"/>
            </w:pPr>
            <w:r>
              <w:t xml:space="preserve">Glossary first. Checklist last.</w:t>
            </w:r>
          </w:p>
        </w:tc>
      </w:tr>
    </w:tbl>
    <w:bookmarkStart w:id="29" w:name="the-pattern-that-makes-this-guide-easy"/>
    <w:p>
      <w:pPr>
        <w:pStyle w:val="Heading2"/>
      </w:pPr>
      <w:r>
        <w:t xml:space="preserve">The pattern that makes this guide easy</w:t>
      </w:r>
    </w:p>
    <w:p>
      <w:pPr>
        <w:pStyle w:val="FirstParagraph"/>
      </w:pPr>
      <w:r>
        <w:t xml:space="preserve">Every application chapter uses</w:t>
      </w:r>
      <w:r>
        <w:t xml:space="preserve"> </w:t>
      </w:r>
      <w:r>
        <w:rPr>
          <w:bCs/>
          <w:b/>
        </w:rPr>
        <w:t xml:space="preserve">the same three questions</w:t>
      </w:r>
      <w:r>
        <w:t xml:space="preserve">, deliberately, so you can compare them: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is it?</w:t>
      </w:r>
      <w:r>
        <w:t xml:space="preserve"> </w:t>
      </w:r>
      <w:r>
        <w:t xml:space="preserve">What does this application do for the business?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How is access to it protected?</w:t>
      </w:r>
      <w:r>
        <w:t xml:space="preserve"> </w:t>
      </w:r>
      <w:r>
        <w:t xml:space="preserve">What’s the equivalent here of users, roles and authorization objects?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does it mean for controls?</w:t>
      </w:r>
      <w:r>
        <w:t xml:space="preserve"> </w:t>
      </w:r>
      <w:r>
        <w:t xml:space="preserve">What would you test, and where would the evidence come from?</w:t>
      </w:r>
    </w:p>
    <w:p>
      <w:pPr>
        <w:pStyle w:val="FirstParagraph"/>
      </w:pPr>
      <w:r>
        <w:t xml:space="preserve">Once you can answer those three for one application, you already know how to ask them about the next one.</w:t>
      </w:r>
      <w:r>
        <w:t xml:space="preserve"> </w:t>
      </w:r>
      <w:r>
        <w:rPr>
          <w:bCs/>
          <w:b/>
        </w:rPr>
        <w:t xml:space="preserve">The pattern repeats far more than the vocabulary changes</w:t>
      </w:r>
      <w:r>
        <w:t xml:space="preserve"> </w:t>
      </w:r>
      <w:r>
        <w:t xml:space="preserve">— and you will meet applications in your career that didn’t exist when the guide was written. The three questions will still work.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your-checklist"/>
    <w:p>
      <w:pPr>
        <w:pStyle w:val="Heading1"/>
      </w:pPr>
      <w:r>
        <w:t xml:space="preserve">Your checklist</w:t>
      </w:r>
    </w:p>
    <w:p>
      <w:pPr>
        <w:numPr>
          <w:ilvl w:val="0"/>
          <w:numId w:val="1002"/>
        </w:numPr>
        <w:pStyle w:val="Compact"/>
      </w:pPr>
      <w:r>
        <w:t xml:space="preserve">☐ All three glossaries skimmed</w:t>
      </w:r>
    </w:p>
    <w:p>
      <w:pPr>
        <w:numPr>
          <w:ilvl w:val="0"/>
          <w:numId w:val="1002"/>
        </w:numPr>
        <w:pStyle w:val="Compact"/>
      </w:pPr>
      <w:r>
        <w:t xml:space="preserve">☐ Guide 1 read, chapter 7 read twice</w:t>
      </w:r>
    </w:p>
    <w:p>
      <w:pPr>
        <w:numPr>
          <w:ilvl w:val="0"/>
          <w:numId w:val="1002"/>
        </w:numPr>
        <w:pStyle w:val="Compact"/>
      </w:pPr>
      <w:r>
        <w:t xml:space="preserve">☐ Guide 2 read, chapters 10 and 13 read slowly</w:t>
      </w:r>
    </w:p>
    <w:p>
      <w:pPr>
        <w:numPr>
          <w:ilvl w:val="0"/>
          <w:numId w:val="1002"/>
        </w:numPr>
        <w:pStyle w:val="Compact"/>
      </w:pPr>
      <w:r>
        <w:t xml:space="preserve">☐ Guide 3 read, chapter 8 last</w:t>
      </w:r>
    </w:p>
    <w:p>
      <w:pPr>
        <w:numPr>
          <w:ilvl w:val="0"/>
          <w:numId w:val="1002"/>
        </w:numPr>
        <w:pStyle w:val="Compact"/>
      </w:pPr>
      <w:r>
        <w:t xml:space="preserve">☐ All three readiness checklists completed — honestly</w:t>
      </w:r>
    </w:p>
    <w:p>
      <w:pPr>
        <w:numPr>
          <w:ilvl w:val="0"/>
          <w:numId w:val="1002"/>
        </w:numPr>
        <w:pStyle w:val="Compact"/>
      </w:pPr>
      <w:r>
        <w:t xml:space="preserve">☐ Anything you deliberately skipped, noted, so you can say so</w:t>
      </w:r>
    </w:p>
    <w:p>
      <w:pPr>
        <w:pStyle w:val="FirstParagraph"/>
      </w:pPr>
      <w:r>
        <w:rPr>
          <w:bCs/>
          <w:b/>
        </w:rPr>
        <w:t xml:space="preserve">The readiness checklists are for you, not for anyone else.</w:t>
      </w:r>
      <w:r>
        <w:t xml:space="preserve"> </w:t>
      </w:r>
      <w:r>
        <w:t xml:space="preserve">If you cannot do one of the items, that is exactly the thing to WhatsApp about.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64" w:lineRule="auto"/>
    </w:pPr>
    <w:rPr>
      <w:rFonts w:ascii="Calibri" w:cs="Calibri" w:hAnsi="Calibri"/>
      <w:color w:val="1F2933"/>
      <w:sz w:val="21"/>
      <w:szCs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  <w:pBdr>
        <w:bottom w:color="C87F16" w:space="6" w:sz="18" w:val="single"/>
      </w:pBdr>
    </w:pPr>
    <w:rPr>
      <w:rFonts w:ascii="Cambria" w:hAnsi="Cambria"/>
      <w:b/>
      <w:color w:val="12203A"/>
      <w:sz w:val="40"/>
      <w:szCs w:val="40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360"/>
      <w:pBdr>
        <w:bottom w:color="D6DEEA" w:space="5" w:sz="8" w:val="single"/>
      </w:pBdr>
      <w:outlineLvl w:val="0"/>
    </w:pPr>
    <w:rPr>
      <w:rFonts w:ascii="Cambria" w:hAnsi="Cambria"/>
      <w:b/>
      <w:color w:val="1B3358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280"/>
      <w:outlineLvl w:val="1"/>
    </w:pPr>
    <w:rPr>
      <w:rFonts w:ascii="Cambria" w:hAnsi="Cambria"/>
      <w:b/>
      <w:color w:val="1B3358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40"/>
      <w:outlineLvl w:val="2"/>
    </w:pPr>
    <w:rPr>
      <w:rFonts w:ascii="Calibri" w:hAnsi="Calibri"/>
      <w:b/>
      <w:color w:val="C87F16"/>
      <w:sz w:val="21"/>
      <w:szCs w:val="2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pPr>
      <w:pBdr>
        <w:left w:color="C87F16" w:space="10" w:sz="18" w:val="single"/>
      </w:pBdr>
      <w:ind w:left="288"/>
      <w:spacing w:after="140" w:before="140"/>
    </w:pPr>
    <w:rPr>
      <w:i/>
      <w:color w:val="5A6B8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styleId="Table" w:type="table">
    <w:name w:val="Table"/>
    <w:basedOn w:val="TableNormal"/>
    <w:uiPriority w:val="59"/>
    <w:pPr>
      <w:spacing w:after="40" w:before="40" w:line="240" w:lineRule="auto"/>
    </w:pPr>
    <w:rPr>
      <w:rFonts w:ascii="Calibri" w:hAnsi="Calibri"/>
      <w:sz w:val="19"/>
      <w:szCs w:val="19"/>
    </w:rPr>
    <w:tblPr>
      <w:tblBorders>
        <w:top w:color="D6DEEA" w:space="0" w:sz="4" w:val="single"/>
        <w:left w:color="auto" w:space="0" w:sz="0" w:val="none"/>
        <w:bottom w:color="D6DEEA" w:space="0" w:sz="4" w:val="single"/>
        <w:right w:color="auto" w:space="0" w:sz="0" w:val="none"/>
        <w:insideH w:color="D6DEEA" w:space="0" w:sz="4" w:val="single"/>
        <w:insideV w:color="auto" w:space="0" w:sz="0" w:val="non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pPr>
        <w:spacing w:after="60" w:before="60"/>
      </w:pPr>
      <w:rPr>
        <w:rFonts w:ascii="Calibri" w:hAnsi="Calibri"/>
        <w:b/>
        <w:color w:val="FFFFFF"/>
        <w:sz w:val="19"/>
      </w:rPr>
      <w:tcPr>
        <w:shd w:color="auto" w:fill="1B3358" w:val="clear"/>
        <w:tcBorders>
          <w:bottom w:color="1B3358" w:space="0" w:sz="4" w:val="single"/>
        </w:tcBorders>
      </w:tcPr>
    </w:tblStylePr>
    <w:tblStylePr w:type="band2Horz">
      <w:tcPr>
        <w:shd w:color="auto" w:fill="F5F8FC" w:val="clear"/>
      </w:tcPr>
    </w:tblStylePr>
    <w:tblStylePr w:type="firstCol">
      <w:rPr>
        <w:b/>
        <w:color w:val="1B3358"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Pre-Class Reading Plan</dc:title>
  <dc:creator>SAP SOX / ITGC Controls — Course 1 · Read at your own speed</dc:creator>
  <cp:keywords/>
  <dcterms:created xsi:type="dcterms:W3CDTF">2026-09-05T23:33:22Z</dcterms:created>
  <dcterms:modified xsi:type="dcterms:W3CDTF">2026-09-05T23:33:22Z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One week, three guides — what to read, in what order, and how</vt:lpwstr>
  </property>
</Properties>
</file>