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Calibri" w:cs="Calibri" w:eastAsia="Calibri" w:hAnsi="Calibri"/>
          <w:b/>
          <w:bCs/>
          <w:color w:val="8F5D18"/>
          <w:sz w:val="18"/>
          <w:szCs w:val="18"/>
        </w:rPr>
        <w:t xml:space="preserve">TIB SYSTEMS LLC  ·  SAP SECURITY, GRC &amp; CONTROLS ACADEMY</w:t>
      </w:r>
    </w:p>
    <w:p>
      <w:pPr>
        <w:spacing w:after="60"/>
      </w:pPr>
      <w:r>
        <w:rPr>
          <w:rFonts w:ascii="Cambria" w:cs="Cambria" w:eastAsia="Cambria" w:hAnsi="Cambria"/>
          <w:b/>
          <w:bCs/>
          <w:color w:val="1B3358"/>
          <w:sz w:val="40"/>
          <w:szCs w:val="40"/>
        </w:rPr>
        <w:t xml:space="preserve">Student Handbook — Start Here</w:t>
      </w:r>
    </w:p>
    <w:p>
      <w:pPr>
        <w:spacing w:after="160"/>
      </w:pPr>
      <w:r>
        <w:rPr>
          <w:rFonts w:ascii="Calibri" w:cs="Calibri" w:eastAsia="Calibri" w:hAnsi="Calibri"/>
          <w:i/>
          <w:iCs/>
          <w:color w:val="4A5872"/>
          <w:sz w:val="23"/>
          <w:szCs w:val="23"/>
        </w:rPr>
        <w:t xml:space="preserve">The map of the whole course. Read it once before session 1, then keep it where you can find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Document</w:t>
            </w:r>
          </w:p>
        </w:tc>
        <w:tc>
          <w:tcPr>
            <w:tcW w:type="dxa" w:w="74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Detail</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Document code</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TIB-FS-STU-001</w:t>
            </w:r>
          </w:p>
        </w:tc>
      </w:tr>
      <w:tr>
        <w:trPr>
          <w:cantSplit/>
        </w:trPr>
        <w:tc>
          <w:tcPr>
            <w:tcW w:type="dxa" w:w="26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Course</w:t>
            </w:r>
          </w:p>
        </w:tc>
        <w:tc>
          <w:tcPr>
            <w:tcW w:type="dxa" w:w="74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Course 1 — The Full Sweep (SAP SOX/ITGC) · live cohort or self-study</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Version</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V2 — October 2026 · two-level plan (Intermediate + Advanced)</w:t>
            </w:r>
          </w:p>
        </w:tc>
      </w:tr>
      <w:tr>
        <w:trPr>
          <w:cantSplit/>
        </w:trPr>
        <w:tc>
          <w:tcPr>
            <w:tcW w:type="dxa" w:w="26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Scenario vehicle</w:t>
            </w:r>
          </w:p>
        </w:tc>
        <w:tc>
          <w:tcPr>
            <w:tcW w:type="dxa" w:w="74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Thornfield Industrial Group</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Audience</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Trainees</w:t>
            </w:r>
          </w:p>
        </w:tc>
      </w:tr>
      <w:tr>
        <w:trPr>
          <w:cantSplit/>
        </w:trPr>
        <w:tc>
          <w:tcPr>
            <w:tcW w:type="dxa" w:w="26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Supersedes</w:t>
            </w:r>
          </w:p>
        </w:tc>
        <w:tc>
          <w:tcPr>
            <w:tcW w:type="dxa" w:w="74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Student Handbook V1 (20-session plan)</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Question</w:t>
            </w:r>
          </w:p>
        </w:tc>
        <w:tc>
          <w:tcPr>
            <w:tcW w:type="dxa" w:w="58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Section</w:t>
            </w:r>
          </w:p>
        </w:tc>
      </w:tr>
      <w:tr>
        <w:trPr>
          <w:cantSplit/>
        </w:trPr>
        <w:tc>
          <w:tcPr>
            <w:tcW w:type="dxa" w:w="42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What am I learning?</w:t>
            </w:r>
          </w:p>
        </w:tc>
        <w:tc>
          <w:tcPr>
            <w:tcW w:type="dxa" w:w="58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1</w:t>
            </w:r>
          </w:p>
        </w:tc>
      </w:tr>
      <w:tr>
        <w:trPr>
          <w:cantSplit/>
        </w:trPr>
        <w:tc>
          <w:tcPr>
            <w:tcW w:type="dxa" w:w="42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When is everything?</w:t>
            </w:r>
          </w:p>
        </w:tc>
        <w:tc>
          <w:tcPr>
            <w:tcW w:type="dxa" w:w="58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2</w:t>
            </w:r>
          </w:p>
        </w:tc>
      </w:tr>
      <w:tr>
        <w:trPr>
          <w:cantSplit/>
        </w:trPr>
        <w:tc>
          <w:tcPr>
            <w:tcW w:type="dxa" w:w="42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What tools do I use?</w:t>
            </w:r>
          </w:p>
        </w:tc>
        <w:tc>
          <w:tcPr>
            <w:tcW w:type="dxa" w:w="58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3</w:t>
            </w:r>
          </w:p>
        </w:tc>
      </w:tr>
      <w:tr>
        <w:trPr>
          <w:cantSplit/>
        </w:trPr>
        <w:tc>
          <w:tcPr>
            <w:tcW w:type="dxa" w:w="42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What do I have to do?</w:t>
            </w:r>
          </w:p>
        </w:tc>
        <w:tc>
          <w:tcPr>
            <w:tcW w:type="dxa" w:w="58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4</w:t>
            </w:r>
          </w:p>
        </w:tc>
      </w:tr>
      <w:tr>
        <w:trPr>
          <w:cantSplit/>
        </w:trPr>
        <w:tc>
          <w:tcPr>
            <w:tcW w:type="dxa" w:w="42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How am I assessed?</w:t>
            </w:r>
          </w:p>
        </w:tc>
        <w:tc>
          <w:tcPr>
            <w:tcW w:type="dxa" w:w="58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5</w:t>
            </w:r>
          </w:p>
        </w:tc>
      </w:tr>
      <w:tr>
        <w:trPr>
          <w:cantSplit/>
        </w:trPr>
        <w:tc>
          <w:tcPr>
            <w:tcW w:type="dxa" w:w="42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What if something goes wrong?</w:t>
            </w:r>
          </w:p>
        </w:tc>
        <w:tc>
          <w:tcPr>
            <w:tcW w:type="dxa" w:w="58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7–8</w:t>
            </w:r>
          </w:p>
        </w:tc>
      </w:tr>
    </w:tbl>
    <w:p>
      <w:pPr>
        <w:spacing w:after="60" w:before="0"/>
      </w:pPr>
    </w:p>
    <w:p>
      <w:pPr>
        <w:spacing w:after="80" w:before="0" w:line="240"/>
      </w:pPr>
      <w:r>
        <w:rPr>
          <w:rFonts w:ascii="Calibri" w:cs="Calibri" w:eastAsia="Calibri" w:hAnsi="Calibri"/>
          <w:sz w:val="21"/>
          <w:szCs w:val="21"/>
        </w:rPr>
        <w:t xml:space="preserve">If you read only one other thing before session 1, make it the Controls Theory prerequisite — you must pass its exam before the first session.</w:t>
      </w:r>
    </w:p>
    <w:p>
      <w:pPr>
        <w:pStyle w:val="Heading1"/>
        <w:spacing w:after="100" w:before="240" w:line="240"/>
      </w:pPr>
      <w:r>
        <w:rPr>
          <w:rFonts w:ascii="Cambria" w:cs="Cambria" w:eastAsia="Cambria" w:hAnsi="Cambria"/>
          <w:b/>
          <w:bCs/>
          <w:color w:val="1B3358"/>
          <w:sz w:val="30"/>
          <w:szCs w:val="30"/>
        </w:rPr>
        <w:t xml:space="preserve">1 · What you are learning</w:t>
      </w:r>
    </w:p>
    <w:p>
      <w:pPr>
        <w:spacing w:after="80" w:before="0" w:line="240"/>
      </w:pPr>
      <w:r>
        <w:rPr>
          <w:rFonts w:ascii="Calibri" w:cs="Calibri" w:eastAsia="Calibri" w:hAnsi="Calibri"/>
          <w:sz w:val="21"/>
          <w:szCs w:val="21"/>
        </w:rPr>
        <w:t xml:space="preserve">How to test whether an SAP system is secure, compliant and properly controlled in a real company — and how to stand behind your conclusion when someone pushes back.</w:t>
      </w:r>
    </w:p>
    <w:p>
      <w:pPr>
        <w:spacing w:after="80" w:before="0" w:line="240"/>
      </w:pPr>
      <w:r>
        <w:rPr>
          <w:rFonts w:ascii="Calibri" w:cs="Calibri" w:eastAsia="Calibri" w:hAnsi="Calibri"/>
          <w:sz w:val="21"/>
          <w:szCs w:val="21"/>
        </w:rPr>
        <w:t xml:space="preserve">As an SAP SOX/ITGC controls consultant you verify three things:</w:t>
      </w:r>
    </w:p>
    <w:p>
      <w:pPr>
        <w:pStyle w:val="ListParagraph"/>
        <w:numPr>
          <w:ilvl w:val="0"/>
          <w:numId w:val="2"/>
        </w:numPr>
        <w:spacing w:after="40" w:before="0" w:line="240"/>
      </w:pPr>
      <w:r>
        <w:rPr>
          <w:rFonts w:ascii="Calibri" w:cs="Calibri" w:eastAsia="Calibri" w:hAnsi="Calibri"/>
          <w:sz w:val="21"/>
          <w:szCs w:val="21"/>
        </w:rPr>
        <w:t xml:space="preserve">Did the system do what it was configured to do?</w:t>
      </w:r>
    </w:p>
    <w:p>
      <w:pPr>
        <w:pStyle w:val="ListParagraph"/>
        <w:numPr>
          <w:ilvl w:val="0"/>
          <w:numId w:val="2"/>
        </w:numPr>
        <w:spacing w:after="40" w:before="0" w:line="240"/>
      </w:pPr>
      <w:r>
        <w:rPr>
          <w:rFonts w:ascii="Calibri" w:cs="Calibri" w:eastAsia="Calibri" w:hAnsi="Calibri"/>
          <w:sz w:val="21"/>
          <w:szCs w:val="21"/>
        </w:rPr>
        <w:t xml:space="preserve">Did users do only what they were authorised to do? — segregation of duties and access controls.</w:t>
      </w:r>
    </w:p>
    <w:p>
      <w:pPr>
        <w:pStyle w:val="ListParagraph"/>
        <w:numPr>
          <w:ilvl w:val="0"/>
          <w:numId w:val="2"/>
        </w:numPr>
        <w:spacing w:after="40" w:before="0" w:line="240"/>
      </w:pPr>
      <w:r>
        <w:rPr>
          <w:rFonts w:ascii="Calibri" w:cs="Calibri" w:eastAsia="Calibri" w:hAnsi="Calibri"/>
          <w:sz w:val="21"/>
          <w:szCs w:val="21"/>
        </w:rPr>
        <w:t xml:space="preserve">Is there reliable, tamper-proof evidence of what happened? — the audit trail.</w:t>
      </w:r>
    </w:p>
    <w:p>
      <w:pPr>
        <w:spacing w:after="80" w:before="0" w:line="240"/>
      </w:pPr>
      <w:r>
        <w:rPr>
          <w:rFonts w:ascii="Calibri" w:cs="Calibri" w:eastAsia="Calibri" w:hAnsi="Calibri"/>
          <w:sz w:val="21"/>
          <w:szCs w:val="21"/>
        </w:rPr>
        <w:t xml:space="preserve">You do not need an SAP background, and you will not write any code.</w:t>
      </w:r>
    </w:p>
    <w:p>
      <w:pPr>
        <w:pStyle w:val="Heading2"/>
        <w:spacing w:after="80" w:before="180" w:line="240"/>
      </w:pPr>
      <w:r>
        <w:rPr>
          <w:rFonts w:ascii="Cambria" w:cs="Cambria" w:eastAsia="Cambria" w:hAnsi="Cambria"/>
          <w:b/>
          <w:bCs/>
          <w:color w:val="1B3358"/>
          <w:sz w:val="24"/>
          <w:szCs w:val="24"/>
        </w:rPr>
        <w:t xml:space="preserve">How you learn it — I do, we do, you defend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Step</w:t>
            </w:r>
          </w:p>
        </w:tc>
        <w:tc>
          <w:tcPr>
            <w:tcW w:type="dxa" w:w="74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What happens</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Read</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Before each session, read that session's Book in the course app</w:t>
            </w:r>
          </w:p>
        </w:tc>
      </w:tr>
      <w:tr>
        <w:trPr>
          <w:cantSplit/>
        </w:trPr>
        <w:tc>
          <w:tcPr>
            <w:tcW w:type="dxa" w:w="26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Hour 1 — Theory</w:t>
            </w:r>
          </w:p>
        </w:tc>
        <w:tc>
          <w:tcPr>
            <w:tcW w:type="dxa" w:w="74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The facilitator breaks the case down: why the control matters, what the population is, what good evidence looks like</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Hour 2 — Demo Lab</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The facilitator runs the exact transactions live; you follow on your own SAP login</w:t>
            </w:r>
          </w:p>
        </w:tc>
      </w:tr>
      <w:tr>
        <w:trPr>
          <w:cantSplit/>
        </w:trPr>
        <w:tc>
          <w:tcPr>
            <w:tcW w:type="dxa" w:w="26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Defend It (last 15 min)</w:t>
            </w:r>
          </w:p>
        </w:tc>
        <w:tc>
          <w:tcPr>
            <w:tcW w:type="dxa" w:w="74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One trainee presents the conclusion and the facilitator pushes back as a reviewer would. Everyone takes turns across each level</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Between sessions</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You repeat the full walkthrough yourself and upload your evidence in the app</w:t>
            </w:r>
          </w:p>
        </w:tc>
      </w:tr>
      <w:tr>
        <w:trPr>
          <w:cantSplit/>
        </w:trPr>
        <w:tc>
          <w:tcPr>
            <w:tcW w:type="dxa" w:w="2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Self-study</w:t>
            </w:r>
          </w:p>
        </w:tc>
        <w:tc>
          <w:tcPr>
            <w:tcW w:type="dxa" w:w="7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Same order, on your own: read, do the Book in SAP with the app beside you, upload your exhibit, then answer the session's Defend It question. The Trainee User Guide walks you through it</w:t>
            </w:r>
          </w:p>
        </w:tc>
      </w:tr>
    </w:tbl>
    <w:p>
      <w:pPr>
        <w:pStyle w:val="Heading1"/>
        <w:spacing w:after="100" w:before="240" w:line="240"/>
      </w:pPr>
      <w:r>
        <w:rPr>
          <w:rFonts w:ascii="Cambria" w:cs="Cambria" w:eastAsia="Cambria" w:hAnsi="Cambria"/>
          <w:b/>
          <w:bCs/>
          <w:color w:val="1B3358"/>
          <w:sz w:val="30"/>
          <w:szCs w:val="30"/>
        </w:rPr>
        <w:t xml:space="preserve">2 · When everything happens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Item</w:t>
            </w:r>
          </w:p>
        </w:tc>
        <w:tc>
          <w:tcPr>
            <w:tcW w:type="dxa" w:w="70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Detail</w:t>
            </w:r>
          </w:p>
        </w:tc>
      </w:tr>
      <w:tr>
        <w:trPr>
          <w:cantSplit/>
        </w:trPr>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Before session 1</w:t>
            </w:r>
          </w:p>
        </w:tc>
        <w:tc>
          <w:tcPr>
            <w:tcW w:type="dxa" w:w="7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Controls Theory prerequisite (11 topics + 49-question exam, 60% to pass) · optional Foundations 101–108 if you are new to SAP</w:t>
            </w:r>
          </w:p>
        </w:tc>
      </w:tr>
      <w:tr>
        <w:trPr>
          <w:cantSplit/>
        </w:trPr>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Two levels</w:t>
            </w:r>
          </w:p>
        </w:tc>
        <w:tc>
          <w:tcPr>
            <w:tcW w:type="dxa" w:w="70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Intermediate: 16 sessions over 4 weeks · Advanced: 12 sessions over 3 weeks · 2 hours each, Tue · Thu · Sat · Sun</w:t>
            </w:r>
          </w:p>
        </w:tc>
      </w:tr>
      <w:tr>
        <w:trPr>
          <w:cantSplit/>
        </w:trPr>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Your time slot (CT)</w:t>
            </w:r>
          </w:p>
        </w:tc>
        <w:tc>
          <w:tcPr>
            <w:tcW w:type="dxa" w:w="7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Class 1: 3:30–5:30 PM · Class 2: 6:00–8:00 PM · Class 3: 8:30–10:30 PM — confirmed at enrollment</w:t>
            </w:r>
          </w:p>
        </w:tc>
      </w:tr>
      <w:tr>
        <w:trPr>
          <w:cantSplit/>
        </w:trPr>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Class size</w:t>
            </w:r>
          </w:p>
        </w:tc>
        <w:tc>
          <w:tcPr>
            <w:tcW w:type="dxa" w:w="70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5 trainees per slot</w:t>
            </w:r>
          </w:p>
        </w:tc>
      </w:tr>
      <w:tr>
        <w:trPr>
          <w:cantSplit/>
        </w:trPr>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After the course</w:t>
            </w:r>
          </w:p>
        </w:tc>
        <w:tc>
          <w:tcPr>
            <w:tcW w:type="dxa" w:w="7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The 19 Beyond the Core Books, self-paced · SAP access continues for 2 more months</w:t>
            </w:r>
          </w:p>
        </w:tc>
      </w:tr>
      <w:tr>
        <w:trPr>
          <w:cantSplit/>
        </w:trPr>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Self-study option</w:t>
            </w:r>
          </w:p>
        </w:tc>
        <w:tc>
          <w:tcPr>
            <w:tcW w:type="dxa" w:w="7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Follow the same sessions at your own pace using the Trainee User Guide and the Reading Packs. Workpapers, the RCM, the deficiency memo and the panel are still marked by TIB instructors</w:t>
            </w:r>
          </w:p>
        </w:tc>
      </w:tr>
    </w:tbl>
    <w:p>
      <w:pPr>
        <w:pStyle w:val="Heading2"/>
        <w:spacing w:after="80" w:before="180" w:line="240"/>
      </w:pPr>
      <w:r>
        <w:rPr>
          <w:rFonts w:ascii="Cambria" w:cs="Cambria" w:eastAsia="Cambria" w:hAnsi="Cambria"/>
          <w:b/>
          <w:bCs/>
          <w:color w:val="1B3358"/>
          <w:sz w:val="24"/>
          <w:szCs w:val="24"/>
        </w:rPr>
        <w:t>Intermediate — 16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5300"/>
        <w:gridCol w:w="2980"/>
      </w:tblGrid>
      <w:tr>
        <w:trPr>
          <w:tblHeader/>
        </w:trPr>
        <w:tc>
          <w:tcPr>
            <w:tcW w:type="dxa" w:w="7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t>
            </w:r>
          </w:p>
        </w:tc>
        <w:tc>
          <w:tcPr>
            <w:tcW w:type="dxa" w:w="11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Week · Day</w:t>
            </w:r>
          </w:p>
        </w:tc>
        <w:tc>
          <w:tcPr>
            <w:tcW w:type="dxa" w:w="53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Content</w:t>
            </w:r>
          </w:p>
        </w:tc>
        <w:tc>
          <w:tcPr>
            <w:tcW w:type="dxa" w:w="29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Graded work</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1 · Tue</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Kickoff — evidence discipline</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Prerequisite exam confirmed</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2</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1 · Thu</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1 — The Access List</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3</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1 · Sat</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17 — The Leaver · then guided self-study: Book 4 — The Next Badge</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4</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1 · Sun</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7 — The Fourth Chair</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5</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2 · Tue</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13 — The Tile</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6</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2 · Thu</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16 — The Firefighter Log</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Workpaper 1 (Access / SoD) assigned — due before session 9</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7</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2 · Sat</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2 — The Emergency Change</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8</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2 · Sun</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20 — The Back Door · then guided self-study: Book 18 — The Untested Backup</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9</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3 · Tue</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19 — The Interface Gap</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Workpaper 2 (Change &amp; Operations) assigned — due before session 13 · Workpaper 1 returned marked</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10</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3 · Thu</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14 — The Rule That Never Fired · then guided self-study: Book 23 — The Job That Stopped Running</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11</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3 · Sat</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3 — The Approval Limit</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12</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3 · Sun</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24 — The Match That Wasn't</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13</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4 · Tue</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25 — The File That Left Twice</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Workpaper 3 (ITAC — P2P / OTC) assigned — due before session 16 · Workpaper 2 returned marked</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14</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4 · Thu</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26 — The Bank Detail Nobody Approved · then guided self-study: Book 27 — The Tolerance That Swallowed It</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15</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4 · Sat</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29 — The Held Order</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16</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4 · Sun</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30 — The Early Invoice</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Workpaper 3 due · returned marked within a week · Intermediate certificate</w:t>
            </w:r>
          </w:p>
        </w:tc>
      </w:tr>
    </w:tbl>
    <w:p>
      <w:pPr>
        <w:pStyle w:val="Heading2"/>
        <w:spacing w:after="80" w:before="180" w:line="240"/>
      </w:pPr>
      <w:r>
        <w:rPr>
          <w:rFonts w:ascii="Cambria" w:cs="Cambria" w:eastAsia="Cambria" w:hAnsi="Cambria"/>
          <w:b/>
          <w:bCs/>
          <w:color w:val="1B3358"/>
          <w:sz w:val="24"/>
          <w:szCs w:val="24"/>
        </w:rPr>
        <w:t>Advanced — 12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5300"/>
        <w:gridCol w:w="2980"/>
      </w:tblGrid>
      <w:tr>
        <w:trPr>
          <w:tblHeader/>
        </w:trPr>
        <w:tc>
          <w:tcPr>
            <w:tcW w:type="dxa" w:w="7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t>
            </w:r>
          </w:p>
        </w:tc>
        <w:tc>
          <w:tcPr>
            <w:tcW w:type="dxa" w:w="11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Week · Day</w:t>
            </w:r>
          </w:p>
        </w:tc>
        <w:tc>
          <w:tcPr>
            <w:tcW w:type="dxa" w:w="53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Content</w:t>
            </w:r>
          </w:p>
        </w:tc>
        <w:tc>
          <w:tcPr>
            <w:tcW w:type="dxa" w:w="29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8"/>
                <w:szCs w:val="18"/>
              </w:rPr>
              <w:t xml:space="preserve">Graded work</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1 · Tue</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Bridge — entry check</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Entry check (Intermediate certificate or experience review)</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2</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1 · Thu</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36 — The Map Before the Testing</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3</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1 · Sat</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RCM workshop — finish the Thornfield RCM</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Thornfield RCM marked</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4</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1 · Sun</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37 — The Control That Was Never Built to Hold</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5</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2 · Tue</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38 — How Many Is Enough</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6</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2 · Thu</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39 — What Kind of Finding Is This</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Deficiency memo assigned — due before session 11</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7</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2 · Sat</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33 — The Other Platform</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8</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2 · Sun</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34 — The Spreadsheet That Found It</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9</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3 · Tue</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35 — The Recommendation Nobody Checked</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10</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3 · Thu</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Book 40 — The Control That Moved</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11</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3 · Sat</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Capstone — severity rating and Audit Committee readout preparation</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Deficiency memo marked</w:t>
            </w:r>
          </w:p>
        </w:tc>
      </w:tr>
      <w:tr>
        <w:trPr>
          <w:cantSplit/>
        </w:trPr>
        <w:tc>
          <w:tcPr>
            <w:tcW w:type="dxa" w:w="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12</w:t>
            </w:r>
          </w:p>
        </w:tc>
        <w:tc>
          <w:tcPr>
            <w:tcW w:type="dxa" w:w="11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Wk 3 · Sun</w:t>
            </w:r>
          </w:p>
        </w:tc>
        <w:tc>
          <w:tcPr>
            <w:tcW w:type="dxa" w:w="5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Stakeholder panel — one finding to an auditor</w:t>
            </w:r>
          </w:p>
        </w:tc>
        <w:tc>
          <w:tcPr>
            <w:tcW w:type="dxa" w:w="29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8"/>
                <w:szCs w:val="18"/>
              </w:rPr>
              <w:t>Panel graded · Advanced certificate</w:t>
            </w:r>
          </w:p>
        </w:tc>
      </w:tr>
    </w:tbl>
    <w:p>
      <w:pPr>
        <w:spacing w:after="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F8FC" w:sz="4"/>
              <w:left w:val="single" w:color="8F5D18" w:sz="24"/>
              <w:bottom w:val="single" w:color="F5F8FC" w:sz="4"/>
              <w:right w:val="single" w:color="F5F8FC" w:sz="4"/>
            </w:tcBorders>
            <w:shd w:fill="F5F8FC" w:color="auto" w:val="clear"/>
            <w:tcMar>
              <w:top w:type="dxa" w:w="100"/>
              <w:left w:type="dxa" w:w="160"/>
              <w:bottom w:type="dxa" w:w="100"/>
              <w:right w:type="dxa" w:w="160"/>
            </w:tcMar>
          </w:tcPr>
          <w:p>
            <w:pPr>
              <w:spacing w:after="40" w:line="240"/>
            </w:pPr>
            <w:r>
              <w:rPr>
                <w:rFonts w:ascii="Calibri" w:cs="Calibri" w:eastAsia="Calibri" w:hAnsi="Calibri"/>
                <w:b/>
                <w:bCs/>
                <w:color w:val="8F5D18"/>
                <w:sz w:val="20"/>
                <w:szCs w:val="20"/>
              </w:rPr>
              <w:t xml:space="preserve">THE ONE THING TO DO THE DAY YOUR SAP ACCESS ARRIVES</w:t>
            </w:r>
          </w:p>
          <w:p>
            <w:pPr>
              <w:spacing w:after="30" w:line="240"/>
            </w:pPr>
            <w:r>
              <w:rPr>
                <w:rFonts w:ascii="Calibri" w:cs="Calibri" w:eastAsia="Calibri" w:hAnsi="Calibri"/>
                <w:sz w:val="20"/>
                <w:szCs w:val="20"/>
              </w:rPr>
              <w:t xml:space="preserve">Test your SAP login that day. If it does not work, say so immediately — nobody can fix it mid-session, and you lose hands-on time.</w:t>
            </w:r>
          </w:p>
        </w:tc>
      </w:tr>
    </w:tbl>
    <w:p>
      <w:pPr>
        <w:pStyle w:val="Heading1"/>
        <w:spacing w:after="100" w:before="240" w:line="240"/>
      </w:pPr>
      <w:r>
        <w:rPr>
          <w:rFonts w:ascii="Cambria" w:cs="Cambria" w:eastAsia="Cambria" w:hAnsi="Cambria"/>
          <w:b/>
          <w:bCs/>
          <w:color w:val="1B3358"/>
          <w:sz w:val="30"/>
          <w:szCs w:val="30"/>
        </w:rPr>
        <w:t xml:space="preserve">3 · The tools you will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gridCol w:w="2480"/>
      </w:tblGrid>
      <w:tr>
        <w:trPr>
          <w:tblHeader/>
        </w:trPr>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Tool</w:t>
            </w:r>
          </w:p>
        </w:tc>
        <w:tc>
          <w:tcPr>
            <w:tcW w:type="dxa" w:w="46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What it is</w:t>
            </w:r>
          </w:p>
        </w:tc>
        <w:tc>
          <w:tcPr>
            <w:tcW w:type="dxa" w:w="24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When</w:t>
            </w:r>
          </w:p>
        </w:tc>
      </w:tr>
      <w:tr>
        <w:trPr>
          <w:cantSplit/>
        </w:trPr>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The course app</w:t>
            </w:r>
          </w:p>
        </w:tc>
        <w:tc>
          <w:tcPr>
            <w:tcW w:type="dxa" w:w="4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sox-live-job-testing.vercel.app — all 46 Books, each with the exact screens, T-codes and a completed workpaper exhibit. Open the menu on By session to follow the course in order; ▶ Next takes you to the next session's Book. Each Book is tagged Intermediate, Advanced or Beyond the Core</w:t>
            </w:r>
          </w:p>
        </w:tc>
        <w:tc>
          <w:tcPr>
            <w:tcW w:type="dxa" w:w="2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Every session and after</w:t>
            </w:r>
          </w:p>
        </w:tc>
      </w:tr>
      <w:tr>
        <w:trPr>
          <w:cantSplit/>
        </w:trPr>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Your own SAP session</w:t>
            </w:r>
          </w:p>
        </w:tc>
        <w:tc>
          <w:tcPr>
            <w:tcW w:type="dxa" w:w="46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SAP GUI on your desktop, or Fiori in a browser tab — display only</w:t>
            </w:r>
          </w:p>
        </w:tc>
        <w:tc>
          <w:tcPr>
            <w:tcW w:type="dxa" w:w="24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Every Demo Lab and between sessions</w:t>
            </w:r>
          </w:p>
        </w:tc>
      </w:tr>
      <w:tr>
        <w:trPr>
          <w:cantSplit/>
        </w:trPr>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Your materials folder</w:t>
            </w:r>
          </w:p>
        </w:tc>
        <w:tc>
          <w:tcPr>
            <w:tcW w:type="dxa" w:w="46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This handbook, the Trainee User Guide, Reading Packs, templates, assessment briefs and the Beyond the Core index</w:t>
            </w:r>
          </w:p>
        </w:tc>
        <w:tc>
          <w:tcPr>
            <w:tcW w:type="dxa" w:w="24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Throughout</w:t>
            </w:r>
          </w:p>
        </w:tc>
      </w:tr>
    </w:tbl>
    <w:p>
      <w:pPr>
        <w:spacing w:after="80" w:before="0" w:line="240"/>
      </w:pPr>
      <w:r>
        <w:rPr>
          <w:rFonts w:ascii="Calibri" w:cs="Calibri" w:eastAsia="Calibri" w:hAnsi="Calibri"/>
          <w:sz w:val="21"/>
          <w:szCs w:val="21"/>
        </w:rPr>
        <w:t>The app does not connect to SAP. Sign into SAP separately and run the two side by side — the Trainee User Guide shows how.</w:t>
      </w:r>
    </w:p>
    <w:p>
      <w:pPr>
        <w:spacing w:after="80" w:before="0" w:line="240"/>
      </w:pPr>
      <w:r>
        <w:rPr>
          <w:rFonts w:ascii="Calibri" w:cs="Calibri" w:eastAsia="Calibri" w:hAnsi="Calibri"/>
          <w:b/>
          <w:bCs/>
          <w:sz w:val="21"/>
          <w:szCs w:val="21"/>
        </w:rPr>
        <w:t xml:space="preserve">One detail that catches everybody out: </w:t>
      </w:r>
      <w:r>
        <w:rPr>
          <w:rFonts w:ascii="Calibri" w:cs="Calibri" w:eastAsia="Calibri" w:hAnsi="Calibri"/>
          <w:sz w:val="21"/>
          <w:szCs w:val="21"/>
        </w:rPr>
        <w:t xml:space="preserve">the counter at the top right of a Book page shows the Book's position in the app, not its Book number. Always go by the header.</w:t>
      </w:r>
    </w:p>
    <w:p>
      <w:pPr>
        <w:pStyle w:val="Heading1"/>
        <w:spacing w:after="100" w:before="240" w:line="240"/>
      </w:pPr>
      <w:r>
        <w:rPr>
          <w:rFonts w:ascii="Cambria" w:cs="Cambria" w:eastAsia="Cambria" w:hAnsi="Cambria"/>
          <w:b/>
          <w:bCs/>
          <w:color w:val="1B3358"/>
          <w:sz w:val="30"/>
          <w:szCs w:val="30"/>
        </w:rPr>
        <w:t xml:space="preserve">4 · What you have to do</w:t>
      </w:r>
    </w:p>
    <w:p>
      <w:pPr>
        <w:spacing w:after="40" w:before="120" w:line="240"/>
      </w:pPr>
      <w:r>
        <w:rPr>
          <w:rFonts w:ascii="Calibri" w:cs="Calibri" w:eastAsia="Calibri" w:hAnsi="Calibri"/>
          <w:b/>
          <w:bCs/>
          <w:caps/>
          <w:color w:val="8F5D18"/>
          <w:sz w:val="20"/>
          <w:szCs w:val="20"/>
        </w:rPr>
        <w:t xml:space="preserve">Every session</w:t>
      </w:r>
    </w:p>
    <w:p>
      <w:pPr>
        <w:pStyle w:val="ListParagraph"/>
        <w:numPr>
          <w:ilvl w:val="0"/>
          <w:numId w:val="2"/>
        </w:numPr>
        <w:spacing w:after="40" w:before="0" w:line="240"/>
      </w:pPr>
      <w:r>
        <w:rPr>
          <w:rFonts w:ascii="Calibri" w:cs="Calibri" w:eastAsia="Calibri" w:hAnsi="Calibri"/>
          <w:sz w:val="21"/>
          <w:szCs w:val="21"/>
        </w:rPr>
        <w:t xml:space="preserve">Read that session's Book in the app beforehand.</w:t>
      </w:r>
    </w:p>
    <w:p>
      <w:pPr>
        <w:pStyle w:val="ListParagraph"/>
        <w:numPr>
          <w:ilvl w:val="0"/>
          <w:numId w:val="2"/>
        </w:numPr>
        <w:spacing w:after="40" w:before="0" w:line="240"/>
      </w:pPr>
      <w:r>
        <w:rPr>
          <w:rFonts w:ascii="Calibri" w:cs="Calibri" w:eastAsia="Calibri" w:hAnsi="Calibri"/>
          <w:sz w:val="21"/>
          <w:szCs w:val="21"/>
        </w:rPr>
        <w:t xml:space="preserve">Repeat the full transaction walkthrough on your own login before the next session, and upload your exhibit in the app.</w:t>
      </w:r>
    </w:p>
    <w:p>
      <w:pPr>
        <w:pStyle w:val="ListParagraph"/>
        <w:numPr>
          <w:ilvl w:val="0"/>
          <w:numId w:val="2"/>
        </w:numPr>
        <w:spacing w:after="40" w:before="0" w:line="240"/>
      </w:pPr>
      <w:r>
        <w:rPr>
          <w:rFonts w:ascii="Calibri" w:cs="Calibri" w:eastAsia="Calibri" w:hAnsi="Calibri"/>
          <w:sz w:val="21"/>
          <w:szCs w:val="21"/>
        </w:rPr>
        <w:t xml:space="preserve">Expect a short evidence spot-check at the start of each session.</w:t>
      </w:r>
    </w:p>
    <w:p>
      <w:pPr>
        <w:spacing w:after="40" w:before="120" w:line="240"/>
      </w:pPr>
      <w:r>
        <w:rPr>
          <w:rFonts w:ascii="Calibri" w:cs="Calibri" w:eastAsia="Calibri" w:hAnsi="Calibri"/>
          <w:b/>
          <w:bCs/>
          <w:caps/>
          <w:color w:val="8F5D18"/>
          <w:sz w:val="20"/>
          <w:szCs w:val="20"/>
        </w:rPr>
        <w:t xml:space="preserve">Graded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4080"/>
      </w:tblGrid>
      <w:tr>
        <w:trPr>
          <w:tblHeader/>
        </w:trPr>
        <w:tc>
          <w:tcPr>
            <w:tcW w:type="dxa" w:w="23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Item</w:t>
            </w:r>
          </w:p>
        </w:tc>
        <w:tc>
          <w:tcPr>
            <w:tcW w:type="dxa" w:w="37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What</w:t>
            </w:r>
          </w:p>
        </w:tc>
        <w:tc>
          <w:tcPr>
            <w:tcW w:type="dxa" w:w="40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When</w:t>
            </w:r>
          </w:p>
        </w:tc>
      </w:tr>
      <w:tr>
        <w:trPr>
          <w:cantSplit/>
        </w:trPr>
        <w:tc>
          <w:tcPr>
            <w:tcW w:type="dxa" w:w="2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Workpaper 1</w:t>
            </w:r>
          </w:p>
        </w:tc>
        <w:tc>
          <w:tcPr>
            <w:tcW w:type="dxa" w:w="3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Intermediate · Access / SoD test — one of Books 1, 4, 7, 16, 17</w:t>
            </w:r>
          </w:p>
        </w:tc>
        <w:tc>
          <w:tcPr>
            <w:tcW w:type="dxa" w:w="4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Assigned session 6 · due before session 9</w:t>
            </w:r>
          </w:p>
        </w:tc>
      </w:tr>
      <w:tr>
        <w:trPr>
          <w:cantSplit/>
        </w:trPr>
        <w:tc>
          <w:tcPr>
            <w:tcW w:type="dxa" w:w="2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Workpaper 2</w:t>
            </w:r>
          </w:p>
        </w:tc>
        <w:tc>
          <w:tcPr>
            <w:tcW w:type="dxa" w:w="3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Intermediate · Change-management test — one of Books 2, 18, 19, 20</w:t>
            </w:r>
          </w:p>
        </w:tc>
        <w:tc>
          <w:tcPr>
            <w:tcW w:type="dxa" w:w="4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Assigned session 9 · due before session 13</w:t>
            </w:r>
          </w:p>
        </w:tc>
      </w:tr>
      <w:tr>
        <w:trPr>
          <w:cantSplit/>
        </w:trPr>
        <w:tc>
          <w:tcPr>
            <w:tcW w:type="dxa" w:w="2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Workpaper 3</w:t>
            </w:r>
          </w:p>
        </w:tc>
        <w:tc>
          <w:tcPr>
            <w:tcW w:type="dxa" w:w="3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Intermediate · Application or Order-to-Cash test — one of Books 24–27, 29, 30</w:t>
            </w:r>
          </w:p>
        </w:tc>
        <w:tc>
          <w:tcPr>
            <w:tcW w:type="dxa" w:w="4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Assigned session 13 · due before session 16</w:t>
            </w:r>
          </w:p>
        </w:tc>
      </w:tr>
      <w:tr>
        <w:trPr>
          <w:cantSplit/>
        </w:trPr>
        <w:tc>
          <w:tcPr>
            <w:tcW w:type="dxa" w:w="2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Thornfield RCM</w:t>
            </w:r>
          </w:p>
        </w:tc>
        <w:tc>
          <w:tcPr>
            <w:tcW w:type="dxa" w:w="3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Advanced · Build the Thornfield Risk &amp; Control Matrix and select key controls</w:t>
            </w:r>
          </w:p>
        </w:tc>
        <w:tc>
          <w:tcPr>
            <w:tcW w:type="dxa" w:w="4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Advanced session 3</w:t>
            </w:r>
          </w:p>
        </w:tc>
      </w:tr>
      <w:tr>
        <w:trPr>
          <w:cantSplit/>
        </w:trPr>
        <w:tc>
          <w:tcPr>
            <w:tcW w:type="dxa" w:w="2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Deficiency memo</w:t>
            </w:r>
          </w:p>
        </w:tc>
        <w:tc>
          <w:tcPr>
            <w:tcW w:type="dxa" w:w="3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Advanced · Rate one finding — deficiency, significant deficiency or material weakness</w:t>
            </w:r>
          </w:p>
        </w:tc>
        <w:tc>
          <w:tcPr>
            <w:tcW w:type="dxa" w:w="4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Assigned Advanced session 6 · due before session 11</w:t>
            </w:r>
          </w:p>
        </w:tc>
      </w:tr>
      <w:tr>
        <w:trPr>
          <w:cantSplit/>
        </w:trPr>
        <w:tc>
          <w:tcPr>
            <w:tcW w:type="dxa" w:w="2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Defend It</w:t>
            </w:r>
          </w:p>
        </w:tc>
        <w:tc>
          <w:tcPr>
            <w:tcW w:type="dxa" w:w="3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Present and defend your conclusion</w:t>
            </w:r>
          </w:p>
        </w:tc>
        <w:tc>
          <w:tcPr>
            <w:tcW w:type="dxa" w:w="4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Book sessions at both levels (rota set in session 1)</w:t>
            </w:r>
          </w:p>
        </w:tc>
      </w:tr>
      <w:tr>
        <w:trPr>
          <w:cantSplit/>
        </w:trPr>
        <w:tc>
          <w:tcPr>
            <w:tcW w:type="dxa" w:w="23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Stakeholder panel</w:t>
            </w:r>
          </w:p>
        </w:tc>
        <w:tc>
          <w:tcPr>
            <w:tcW w:type="dxa" w:w="37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Advanced · One finding, presented to an auditor, an SAP developer and a CFO</w:t>
            </w:r>
          </w:p>
        </w:tc>
        <w:tc>
          <w:tcPr>
            <w:tcW w:type="dxa" w:w="4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Advanced session 12</w:t>
            </w:r>
          </w:p>
        </w:tc>
      </w:tr>
    </w:tbl>
    <w:p>
      <w:pPr>
        <w:spacing w:after="80" w:before="0" w:line="240"/>
      </w:pPr>
      <w:r>
        <w:rPr>
          <w:rFonts w:ascii="Calibri" w:cs="Calibri" w:eastAsia="Calibri" w:hAnsi="Calibri"/>
          <w:sz w:val="21"/>
          <w:szCs w:val="21"/>
        </w:rPr>
        <w:t>Full briefs are in Workpaper Briefs 1–3, the Midpoint RCM Exercise and the Stakeholder Panel Brief in your assessment folder. Use the Workpaper Template and Standard and a Planning Card for each workpaper.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F8FC" w:sz="4"/>
              <w:left w:val="single" w:color="1F6B67" w:sz="24"/>
              <w:bottom w:val="single" w:color="F5F8FC" w:sz="4"/>
              <w:right w:val="single" w:color="F5F8FC" w:sz="4"/>
            </w:tcBorders>
            <w:shd w:fill="F5F8FC" w:color="auto" w:val="clear"/>
            <w:tcMar>
              <w:top w:type="dxa" w:w="100"/>
              <w:left w:type="dxa" w:w="160"/>
              <w:bottom w:type="dxa" w:w="100"/>
              <w:right w:type="dxa" w:w="160"/>
            </w:tcMar>
          </w:tcPr>
          <w:p>
            <w:pPr>
              <w:spacing w:after="40" w:line="240"/>
            </w:pPr>
            <w:r>
              <w:rPr>
                <w:rFonts w:ascii="Calibri" w:cs="Calibri" w:eastAsia="Calibri" w:hAnsi="Calibri"/>
                <w:b/>
                <w:bCs/>
                <w:color w:val="1F6B67"/>
                <w:sz w:val="20"/>
                <w:szCs w:val="20"/>
              </w:rPr>
              <w:t>SEVERITY — WHEN TO STATE IT</w:t>
            </w:r>
          </w:p>
          <w:p>
            <w:pPr>
              <w:spacing w:after="30" w:line="240"/>
            </w:pPr>
            <w:r>
              <w:rPr>
                <w:rFonts w:ascii="Calibri" w:cs="Calibri" w:eastAsia="Calibri" w:hAnsi="Calibri"/>
                <w:sz w:val="20"/>
                <w:szCs w:val="20"/>
              </w:rPr>
              <w:t>Workpapers 1–3 (Intermediate): state the facts and your conclusion (effective / not effective). Do not call a deficiency “minor” or “immaterial” — severity depends on thresholds you do not have yet.</w:t>
            </w:r>
          </w:p>
          <w:p>
            <w:pPr>
              <w:spacing w:after="30" w:line="240"/>
            </w:pPr>
            <w:r>
              <w:rPr>
                <w:rFonts w:ascii="Calibri" w:cs="Calibri" w:eastAsia="Calibri" w:hAnsi="Calibri"/>
                <w:sz w:val="20"/>
                <w:szCs w:val="20"/>
              </w:rPr>
              <w:t>Deficiency memo (Advanced): after Book 39, you do rate severity — deficiency, significant deficiency or material weakness — with a one-sentence justification.</w:t>
            </w:r>
          </w:p>
        </w:tc>
      </w:tr>
    </w:tbl>
    <w:p>
      <w:pPr>
        <w:pStyle w:val="Heading1"/>
        <w:spacing w:after="100" w:before="240" w:line="240"/>
      </w:pPr>
      <w:r>
        <w:rPr>
          <w:rFonts w:ascii="Cambria" w:cs="Cambria" w:eastAsia="Cambria" w:hAnsi="Cambria"/>
          <w:b/>
          <w:bCs/>
          <w:color w:val="1B3358"/>
          <w:sz w:val="30"/>
          <w:szCs w:val="30"/>
        </w:rPr>
        <w:t xml:space="preserve">5 · How you are assessed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rPr>
          <w:tblHeader/>
        </w:trPr>
        <w:tc>
          <w:tcPr>
            <w:tcW w:type="dxa" w:w="14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Weight</w:t>
            </w:r>
          </w:p>
        </w:tc>
        <w:tc>
          <w:tcPr>
            <w:tcW w:type="dxa" w:w="86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Rubric line</w:t>
            </w:r>
          </w:p>
        </w:tc>
      </w:tr>
      <w:tr>
        <w:trPr>
          <w:cantSplit/>
        </w:trPr>
        <w:tc>
          <w:tcPr>
            <w:tcW w:type="dxa" w:w="14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20%</w:t>
            </w:r>
          </w:p>
        </w:tc>
        <w:tc>
          <w:tcPr>
            <w:tcW w:type="dxa" w:w="86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Business risk &amp; control understanding</w:t>
            </w:r>
          </w:p>
        </w:tc>
      </w:tr>
      <w:tr>
        <w:trPr>
          <w:cantSplit/>
        </w:trPr>
        <w:tc>
          <w:tcPr>
            <w:tcW w:type="dxa" w:w="14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15%</w:t>
            </w:r>
          </w:p>
        </w:tc>
        <w:tc>
          <w:tcPr>
            <w:tcW w:type="dxa" w:w="86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Testing strategy &amp; population definition</w:t>
            </w:r>
          </w:p>
        </w:tc>
      </w:tr>
      <w:tr>
        <w:trPr>
          <w:cantSplit/>
        </w:trPr>
        <w:tc>
          <w:tcPr>
            <w:tcW w:type="dxa" w:w="14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15%</w:t>
            </w:r>
          </w:p>
        </w:tc>
        <w:tc>
          <w:tcPr>
            <w:tcW w:type="dxa" w:w="86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Evidence evaluation</w:t>
            </w:r>
          </w:p>
        </w:tc>
      </w:tr>
      <w:tr>
        <w:trPr>
          <w:cantSplit/>
        </w:trPr>
        <w:tc>
          <w:tcPr>
            <w:tcW w:type="dxa" w:w="14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15%</w:t>
            </w:r>
          </w:p>
        </w:tc>
        <w:tc>
          <w:tcPr>
            <w:tcW w:type="dxa" w:w="86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Consultant judgement &amp; escalation</w:t>
            </w:r>
          </w:p>
        </w:tc>
      </w:tr>
      <w:tr>
        <w:trPr>
          <w:cantSplit/>
        </w:trPr>
        <w:tc>
          <w:tcPr>
            <w:tcW w:type="dxa" w:w="14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15%</w:t>
            </w:r>
          </w:p>
        </w:tc>
        <w:tc>
          <w:tcPr>
            <w:tcW w:type="dxa" w:w="86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Workpaper &amp; conclusion quality</w:t>
            </w:r>
          </w:p>
        </w:tc>
      </w:tr>
      <w:tr>
        <w:trPr>
          <w:cantSplit/>
        </w:trPr>
        <w:tc>
          <w:tcPr>
            <w:tcW w:type="dxa" w:w="14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10%</w:t>
            </w:r>
          </w:p>
        </w:tc>
        <w:tc>
          <w:tcPr>
            <w:tcW w:type="dxa" w:w="86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Stakeholder communication</w:t>
            </w:r>
          </w:p>
        </w:tc>
      </w:tr>
      <w:tr>
        <w:trPr>
          <w:cantSplit/>
        </w:trPr>
        <w:tc>
          <w:tcPr>
            <w:tcW w:type="dxa" w:w="14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10%</w:t>
            </w:r>
          </w:p>
        </w:tc>
        <w:tc>
          <w:tcPr>
            <w:tcW w:type="dxa" w:w="86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SAP execution accuracy</w:t>
            </w:r>
          </w:p>
        </w:tc>
      </w:tr>
    </w:tbl>
    <w:p>
      <w:pPr>
        <w:spacing w:after="60" w:before="0"/>
      </w:pPr>
    </w:p>
    <w:p>
      <w:pPr>
        <w:pStyle w:val="ListParagraph"/>
        <w:numPr>
          <w:ilvl w:val="0"/>
          <w:numId w:val="2"/>
        </w:numPr>
        <w:spacing w:after="40" w:before="0" w:line="240"/>
      </w:pPr>
      <w:r>
        <w:rPr>
          <w:rFonts w:ascii="Calibri" w:cs="Calibri" w:eastAsia="Calibri" w:hAnsi="Calibri"/>
          <w:sz w:val="21"/>
          <w:szCs w:val="21"/>
        </w:rPr>
        <w:t xml:space="preserve">SAP execution is only 10%, deliberately. Navigation gets faster with practice; judgement is what gets you promoted.</w:t>
      </w:r>
    </w:p>
    <w:p>
      <w:pPr>
        <w:pStyle w:val="ListParagraph"/>
        <w:numPr>
          <w:ilvl w:val="0"/>
          <w:numId w:val="2"/>
        </w:numPr>
        <w:spacing w:after="40" w:before="0" w:line="240"/>
      </w:pPr>
      <w:r>
        <w:rPr>
          <w:rFonts w:ascii="Calibri" w:cs="Calibri" w:eastAsia="Calibri" w:hAnsi="Calibri"/>
          <w:sz w:val="21"/>
          <w:szCs w:val="21"/>
        </w:rPr>
        <w:t xml:space="preserve">A piece passes at a weighted score of 60 or above with no single line below 40. Below that it comes back marked “resubmit” with feedback, and you have one week.</w:t>
      </w:r>
    </w:p>
    <w:p>
      <w:pPr>
        <w:pStyle w:val="ListParagraph"/>
        <w:numPr>
          <w:ilvl w:val="0"/>
          <w:numId w:val="2"/>
        </w:numPr>
        <w:spacing w:after="40" w:before="0" w:line="240"/>
      </w:pPr>
      <w:r>
        <w:rPr>
          <w:rFonts w:ascii="Calibri" w:cs="Calibri" w:eastAsia="Calibri" w:hAnsi="Calibri"/>
          <w:sz w:val="21"/>
          <w:szCs w:val="21"/>
        </w:rPr>
        <w:t>Certificates: Intermediate — prerequisite exam passed + all 19 Intermediate Books completed in the app (15 live + 4 guided self-study) + Workpapers 1–3 passed. Advanced — all 8 Advanced Books completed + Thornfield RCM, deficiency memo and stakeholder panel passed. Beyond the Core Books are optional.</w:t>
      </w:r>
    </w:p>
    <w:p>
      <w:pPr>
        <w:pStyle w:val="Heading1"/>
        <w:spacing w:after="100" w:before="240" w:line="240"/>
      </w:pPr>
      <w:r>
        <w:rPr>
          <w:rFonts w:ascii="Cambria" w:cs="Cambria" w:eastAsia="Cambria" w:hAnsi="Cambria"/>
          <w:b/>
          <w:bCs/>
          <w:color w:val="1B3358"/>
          <w:sz w:val="30"/>
          <w:szCs w:val="30"/>
        </w:rPr>
        <w:t xml:space="preserve">6 · How questions work</w:t>
      </w:r>
    </w:p>
    <w:p>
      <w:pPr>
        <w:spacing w:after="80" w:before="0" w:line="240"/>
      </w:pPr>
      <w:r>
        <w:rPr>
          <w:rFonts w:ascii="Calibri" w:cs="Calibri" w:eastAsia="Calibri" w:hAnsi="Calibri"/>
          <w:sz w:val="21"/>
          <w:szCs w:val="21"/>
        </w:rPr>
        <w:t xml:space="preserve">Send questions you want discussed in class at least 24 hours before the session, using the Question Submission Template. Anything blocking your progress, raise immediately — don't wait.</w:t>
      </w:r>
    </w:p>
    <w:p>
      <w:pPr>
        <w:spacing w:after="80" w:before="0" w:line="240"/>
      </w:pPr>
      <w:r>
        <w:rPr>
          <w:rFonts w:ascii="Calibri" w:cs="Calibri" w:eastAsia="Calibri" w:hAnsi="Calibri"/>
          <w:b/>
          <w:bCs/>
          <w:sz w:val="21"/>
          <w:szCs w:val="21"/>
        </w:rPr>
        <w:t xml:space="preserve">Weak: </w:t>
      </w:r>
      <w:r>
        <w:rPr>
          <w:rFonts w:ascii="Calibri" w:cs="Calibri" w:eastAsia="Calibri" w:hAnsi="Calibri"/>
          <w:sz w:val="21"/>
          <w:szCs w:val="21"/>
        </w:rPr>
        <w:t xml:space="preserve">“I didn't understand Book 14.”  </w:t>
      </w:r>
      <w:r>
        <w:rPr>
          <w:rFonts w:ascii="Calibri" w:cs="Calibri" w:eastAsia="Calibri" w:hAnsi="Calibri"/>
          <w:b/>
          <w:bCs/>
          <w:sz w:val="21"/>
          <w:szCs w:val="21"/>
        </w:rPr>
        <w:t xml:space="preserve">Better: </w:t>
      </w:r>
      <w:r>
        <w:rPr>
          <w:rFonts w:ascii="Calibri" w:cs="Calibri" w:eastAsia="Calibri" w:hAnsi="Calibri"/>
          <w:sz w:val="21"/>
          <w:szCs w:val="21"/>
        </w:rPr>
        <w:t xml:space="preserve">“Book 14 — the rule is configured correctly, so how can it have failed if SM37 shows the job finished?”</w:t>
      </w:r>
    </w:p>
    <w:p>
      <w:pPr>
        <w:pStyle w:val="Heading1"/>
        <w:spacing w:after="100" w:before="240" w:line="240"/>
      </w:pPr>
      <w:r>
        <w:rPr>
          <w:rFonts w:ascii="Cambria" w:cs="Cambria" w:eastAsia="Cambria" w:hAnsi="Cambria"/>
          <w:b/>
          <w:bCs/>
          <w:color w:val="1B3358"/>
          <w:sz w:val="30"/>
          <w:szCs w:val="30"/>
        </w:rPr>
        <w:t xml:space="preserve">7 · Ground rules</w:t>
      </w:r>
    </w:p>
    <w:p>
      <w:pPr>
        <w:pStyle w:val="ListParagraph"/>
        <w:numPr>
          <w:ilvl w:val="0"/>
          <w:numId w:val="2"/>
        </w:numPr>
        <w:spacing w:after="40" w:before="0" w:line="240"/>
      </w:pPr>
      <w:r>
        <w:rPr>
          <w:rFonts w:ascii="Calibri" w:cs="Calibri" w:eastAsia="Calibri" w:hAnsi="Calibri"/>
          <w:sz w:val="21"/>
          <w:szCs w:val="21"/>
        </w:rPr>
        <w:t xml:space="preserve">Cameras on when you can; if your connection is poor, say so in chat.</w:t>
      </w:r>
    </w:p>
    <w:p>
      <w:pPr>
        <w:pStyle w:val="ListParagraph"/>
        <w:numPr>
          <w:ilvl w:val="0"/>
          <w:numId w:val="2"/>
        </w:numPr>
        <w:spacing w:after="40" w:before="0" w:line="240"/>
      </w:pPr>
      <w:r>
        <w:rPr>
          <w:rFonts w:ascii="Calibri" w:cs="Calibri" w:eastAsia="Calibri" w:hAnsi="Calibri"/>
          <w:sz w:val="21"/>
          <w:szCs w:val="21"/>
        </w:rPr>
        <w:t xml:space="preserve">Interrupt. Ask the question now rather than saving it.</w:t>
      </w:r>
    </w:p>
    <w:p>
      <w:pPr>
        <w:pStyle w:val="ListParagraph"/>
        <w:numPr>
          <w:ilvl w:val="0"/>
          <w:numId w:val="2"/>
        </w:numPr>
        <w:spacing w:after="40" w:before="0" w:line="240"/>
      </w:pPr>
      <w:r>
        <w:rPr>
          <w:rFonts w:ascii="Calibri" w:cs="Calibri" w:eastAsia="Calibri" w:hAnsi="Calibri"/>
          <w:sz w:val="21"/>
          <w:szCs w:val="21"/>
        </w:rPr>
        <w:t xml:space="preserve">Display only in SAP — never press a button that changes something, even in a sandbox.</w:t>
      </w:r>
    </w:p>
    <w:p>
      <w:pPr>
        <w:pStyle w:val="ListParagraph"/>
        <w:numPr>
          <w:ilvl w:val="0"/>
          <w:numId w:val="2"/>
        </w:numPr>
        <w:spacing w:after="40" w:before="0" w:line="240"/>
      </w:pPr>
      <w:r>
        <w:rPr>
          <w:rFonts w:ascii="Calibri" w:cs="Calibri" w:eastAsia="Calibri" w:hAnsi="Calibri"/>
          <w:sz w:val="21"/>
          <w:szCs w:val="21"/>
        </w:rPr>
        <w:t xml:space="preserve">Planning Card before transaction code: if you cannot say what your population is, you are not ready to type a T-code.</w:t>
      </w:r>
    </w:p>
    <w:p>
      <w:pPr>
        <w:pStyle w:val="ListParagraph"/>
        <w:numPr>
          <w:ilvl w:val="0"/>
          <w:numId w:val="2"/>
        </w:numPr>
        <w:spacing w:after="40" w:before="0" w:line="240"/>
      </w:pPr>
      <w:r>
        <w:rPr>
          <w:rFonts w:ascii="Calibri" w:cs="Calibri" w:eastAsia="Calibri" w:hAnsi="Calibri"/>
          <w:sz w:val="21"/>
          <w:szCs w:val="21"/>
        </w:rPr>
        <w:t xml:space="preserve">In Defend It, hold a correct conclusion under pressure. Change it only for a reason you can state.</w:t>
      </w:r>
    </w:p>
    <w:p>
      <w:pPr>
        <w:pStyle w:val="Heading1"/>
        <w:spacing w:after="100" w:before="240" w:line="240"/>
      </w:pPr>
      <w:r>
        <w:rPr>
          <w:rFonts w:ascii="Cambria" w:cs="Cambria" w:eastAsia="Cambria" w:hAnsi="Cambria"/>
          <w:b/>
          <w:bCs/>
          <w:color w:val="1B3358"/>
          <w:sz w:val="30"/>
          <w:szCs w:val="30"/>
        </w:rPr>
        <w:t xml:space="preserve">8 · Frequently asked</w:t>
      </w:r>
    </w:p>
    <w:p>
      <w:pPr>
        <w:spacing w:after="40" w:before="120" w:line="240"/>
      </w:pPr>
      <w:r>
        <w:rPr>
          <w:rFonts w:ascii="Calibri" w:cs="Calibri" w:eastAsia="Calibri" w:hAnsi="Calibri"/>
          <w:b/>
          <w:bCs/>
          <w:caps/>
          <w:color w:val="1F6B67"/>
          <w:sz w:val="20"/>
          <w:szCs w:val="20"/>
        </w:rPr>
        <w:t xml:space="preserve">Is there an exam?</w:t>
      </w:r>
    </w:p>
    <w:p>
      <w:pPr>
        <w:spacing w:after="80" w:before="0" w:line="240"/>
      </w:pPr>
      <w:r>
        <w:rPr>
          <w:rFonts w:ascii="Calibri" w:cs="Calibri" w:eastAsia="Calibri" w:hAnsi="Calibri"/>
          <w:sz w:val="21"/>
          <w:szCs w:val="21"/>
        </w:rPr>
        <w:t>One — the Controls Theory prerequisite exam, before session 1. After that you are assessed on your workpapers, Defend It and, at the Advanced level, the RCM, the deficiency memo and the panel.</w:t>
      </w:r>
    </w:p>
    <w:p>
      <w:pPr>
        <w:spacing w:after="40" w:before="120" w:line="240"/>
      </w:pPr>
      <w:r>
        <w:rPr>
          <w:rFonts w:ascii="Calibri" w:cs="Calibri" w:eastAsia="Calibri" w:hAnsi="Calibri"/>
          <w:b/>
          <w:bCs/>
          <w:caps/>
          <w:color w:val="1F6B67"/>
          <w:sz w:val="20"/>
          <w:szCs w:val="20"/>
        </w:rPr>
        <w:t xml:space="preserve">What if I miss a session?</w:t>
      </w:r>
    </w:p>
    <w:p>
      <w:pPr>
        <w:spacing w:after="80" w:before="0" w:line="240"/>
      </w:pPr>
      <w:r>
        <w:rPr>
          <w:rFonts w:ascii="Calibri" w:cs="Calibri" w:eastAsia="Calibri" w:hAnsi="Calibri"/>
          <w:sz w:val="21"/>
          <w:szCs w:val="21"/>
        </w:rPr>
        <w:t xml:space="preserve">Tell the facilitator in advance. Work through that session's Book in the app, repeat the lab, and bring questions to the next session. If you miss your Defend It turn, it is rescheduled.</w:t>
      </w:r>
    </w:p>
    <w:p>
      <w:pPr>
        <w:spacing w:after="40" w:before="120" w:line="240"/>
      </w:pPr>
      <w:r>
        <w:rPr>
          <w:rFonts w:ascii="Calibri" w:cs="Calibri" w:eastAsia="Calibri" w:hAnsi="Calibri"/>
          <w:b/>
          <w:bCs/>
          <w:caps/>
          <w:color w:val="1F6B67"/>
          <w:sz w:val="20"/>
          <w:szCs w:val="20"/>
        </w:rPr>
        <w:t xml:space="preserve">What are the Beyond the Core Books?</w:t>
      </w:r>
    </w:p>
    <w:p>
      <w:pPr>
        <w:spacing w:after="80" w:before="0" w:line="240"/>
      </w:pPr>
      <w:r>
        <w:rPr>
          <w:rFonts w:ascii="Calibri" w:cs="Calibri" w:eastAsia="Calibri" w:hAnsi="Calibri"/>
          <w:sz w:val="21"/>
          <w:szCs w:val="21"/>
        </w:rPr>
        <w:t>19 Books not taught live — Treasury &amp; Tax, Payroll, Governance &amp; Disclosure, legal and compliance scope and more. Same format in the app, optional, yours to keep. Find them under By Part in the app menu, and in the Beyond the Core Library Index.</w:t>
      </w:r>
    </w:p>
    <w:p>
      <w:pPr>
        <w:spacing w:after="40" w:before="120" w:line="240"/>
      </w:pPr>
      <w:r>
        <w:rPr>
          <w:rFonts w:ascii="Calibri" w:cs="Calibri" w:eastAsia="Calibri" w:hAnsi="Calibri"/>
          <w:b/>
          <w:bCs/>
          <w:caps/>
          <w:color w:val="1F6B67"/>
          <w:sz w:val="20"/>
          <w:szCs w:val="20"/>
        </w:rPr>
        <w:t xml:space="preserve">I've used SAP before. Will this be obvious?</w:t>
      </w:r>
    </w:p>
    <w:p>
      <w:pPr>
        <w:spacing w:after="80" w:before="0" w:line="240"/>
      </w:pPr>
      <w:r>
        <w:rPr>
          <w:rFonts w:ascii="Calibri" w:cs="Calibri" w:eastAsia="Calibri" w:hAnsi="Calibri"/>
          <w:sz w:val="21"/>
          <w:szCs w:val="21"/>
        </w:rPr>
        <w:t xml:space="preserve">Some of it. But using SAP is not the same as understanding why its controls are built the way they are — or defending a conclusion to a reviewer.</w:t>
      </w:r>
    </w:p>
    <w:p>
      <w:pPr>
        <w:spacing w:after="40" w:before="120" w:line="240"/>
      </w:pPr>
      <w:r>
        <w:rPr>
          <w:rFonts w:ascii="Calibri" w:cs="Calibri" w:eastAsia="Calibri" w:hAnsi="Calibri"/>
          <w:b/>
          <w:bCs/>
          <w:caps/>
          <w:color w:val="1F6B67"/>
          <w:sz w:val="20"/>
          <w:szCs w:val="20"/>
        </w:rPr>
        <w:t>Can I do the course as self-study?</w:t>
      </w:r>
    </w:p>
    <w:p>
      <w:pPr>
        <w:spacing w:after="80" w:before="0" w:line="240"/>
      </w:pPr>
      <w:r>
        <w:rPr>
          <w:rFonts w:ascii="Calibri" w:cs="Calibri" w:eastAsia="Calibri" w:hAnsi="Calibri"/>
          <w:sz w:val="21"/>
          <w:szCs w:val="21"/>
        </w:rPr>
        <w:t>Yes. The Trainee User Guide gives you the same route session by session, and the Reading Packs follow the same order. Your workpapers, RCM, deficiency memo and stakeholder panel are still marked by TIB instructors — that is what earns the certificate.</w:t>
      </w:r>
    </w:p>
    <w:p>
      <w:pPr>
        <w:pStyle w:val="Heading1"/>
        <w:spacing w:after="100" w:before="240" w:line="240"/>
      </w:pPr>
      <w:r>
        <w:rPr>
          <w:rFonts w:ascii="Cambria" w:cs="Cambria" w:eastAsia="Cambria" w:hAnsi="Cambria"/>
          <w:b/>
          <w:bCs/>
          <w:color w:val="1B3358"/>
          <w:sz w:val="30"/>
          <w:szCs w:val="30"/>
        </w:rPr>
        <w:t xml:space="preserve">Where everything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Folder</w:t>
            </w:r>
          </w:p>
        </w:tc>
        <w:tc>
          <w:tcPr>
            <w:tcW w:type="dxa" w:w="7080"/>
            <w:tcBorders>
              <w:top w:val="single" w:color="D5DCE6" w:sz="4"/>
              <w:left w:val="single" w:color="D5DCE6" w:sz="4"/>
              <w:bottom w:val="single" w:color="D5DCE6" w:sz="4"/>
              <w:right w:val="single" w:color="D5DCE6" w:sz="4"/>
            </w:tcBorders>
            <w:shd w:fill="1B3358" w:color="auto" w:val="clear"/>
            <w:tcMar>
              <w:top w:type="dxa" w:w="60"/>
              <w:left w:type="dxa" w:w="100"/>
              <w:bottom w:type="dxa" w:w="60"/>
              <w:right w:type="dxa" w:w="100"/>
            </w:tcMar>
          </w:tcPr>
          <w:p>
            <w:pPr>
              <w:spacing w:after="0" w:before="0" w:line="240"/>
            </w:pPr>
            <w:r>
              <w:rPr>
                <w:rFonts w:ascii="Calibri" w:cs="Calibri" w:eastAsia="Calibri" w:hAnsi="Calibri"/>
                <w:b/>
                <w:bCs/>
                <w:color w:val="FFFFFF"/>
                <w:sz w:val="19"/>
                <w:szCs w:val="19"/>
              </w:rPr>
              <w:t xml:space="preserve">Contents</w:t>
            </w:r>
          </w:p>
        </w:tc>
      </w:tr>
      <w:tr>
        <w:trPr>
          <w:cantSplit/>
        </w:trPr>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00-start-here</w:t>
            </w:r>
          </w:p>
        </w:tc>
        <w:tc>
          <w:tcPr>
            <w:tcW w:type="dxa" w:w="7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Student Handbook · Trainee User Guide · Beyond the Core Library Index</w:t>
            </w:r>
          </w:p>
        </w:tc>
      </w:tr>
      <w:tr>
        <w:trPr>
          <w:cantSplit/>
        </w:trPr>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01-pre-class</w:t>
            </w:r>
          </w:p>
        </w:tc>
        <w:tc>
          <w:tcPr>
            <w:tcW w:type="dxa" w:w="70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The three pre-class guides · Pre-Class Reading Plan</w:t>
            </w:r>
          </w:p>
        </w:tc>
      </w:tr>
      <w:tr>
        <w:trPr>
          <w:cantSplit/>
        </w:trPr>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02-templates</w:t>
            </w:r>
          </w:p>
        </w:tc>
        <w:tc>
          <w:tcPr>
            <w:tcW w:type="dxa" w:w="7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Workpaper Template and Standard · Planning Card · Question Submission Template</w:t>
            </w:r>
          </w:p>
        </w:tc>
      </w:tr>
      <w:tr>
        <w:trPr>
          <w:cantSplit/>
        </w:trPr>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03-reading-packs</w:t>
            </w:r>
          </w:p>
        </w:tc>
        <w:tc>
          <w:tcPr>
            <w:tcW w:type="dxa" w:w="70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Reading Packs — Intermediate Weeks 1–4 · Advanced Weeks 1–3</w:t>
            </w:r>
          </w:p>
        </w:tc>
      </w:tr>
      <w:tr>
        <w:trPr>
          <w:cantSplit/>
        </w:trPr>
        <w:tc>
          <w:tcPr>
            <w:tcW w:type="dxa" w:w="300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04-post-class</w:t>
            </w:r>
          </w:p>
        </w:tc>
        <w:tc>
          <w:tcPr>
            <w:tcW w:type="dxa" w:w="7080"/>
            <w:tcBorders>
              <w:top w:val="single" w:color="D5DCE6" w:sz="4"/>
              <w:left w:val="single" w:color="D5DCE6" w:sz="4"/>
              <w:bottom w:val="single" w:color="D5DCE6" w:sz="4"/>
              <w:right w:val="single" w:color="D5DCE6" w:sz="4"/>
            </w:tcBorders>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Post-class materials</w:t>
            </w:r>
          </w:p>
        </w:tc>
      </w:tr>
      <w:tr>
        <w:trPr>
          <w:cantSplit/>
        </w:trPr>
        <w:tc>
          <w:tcPr>
            <w:tcW w:type="dxa" w:w="300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05-assessment</w:t>
            </w:r>
          </w:p>
        </w:tc>
        <w:tc>
          <w:tcPr>
            <w:tcW w:type="dxa" w:w="7080"/>
            <w:tcBorders>
              <w:top w:val="single" w:color="D5DCE6" w:sz="4"/>
              <w:left w:val="single" w:color="D5DCE6" w:sz="4"/>
              <w:bottom w:val="single" w:color="D5DCE6" w:sz="4"/>
              <w:right w:val="single" w:color="D5DCE6" w:sz="4"/>
            </w:tcBorders>
            <w:shd w:fill="F5F8FC" w:color="auto" w:val="clear"/>
            <w:tcMar>
              <w:top w:type="dxa" w:w="60"/>
              <w:left w:type="dxa" w:w="100"/>
              <w:bottom w:type="dxa" w:w="60"/>
              <w:right w:type="dxa" w:w="100"/>
            </w:tcMar>
          </w:tcPr>
          <w:p>
            <w:pPr>
              <w:spacing w:after="0" w:before="0" w:line="240"/>
            </w:pPr>
            <w:r>
              <w:rPr>
                <w:rFonts w:ascii="Calibri" w:cs="Calibri" w:eastAsia="Calibri" w:hAnsi="Calibri"/>
                <w:b w:val="false"/>
                <w:bCs w:val="false"/>
                <w:sz w:val="19"/>
                <w:szCs w:val="19"/>
              </w:rPr>
              <w:t xml:space="preserve">Workpaper Briefs 1–3 · Midpoint RCM Exercise · Stakeholder Panel Brief</w:t>
            </w:r>
          </w:p>
        </w:tc>
      </w:tr>
    </w:tbl>
    <w:p>
      <w:pPr>
        <w:spacing w:after="60" w:before="0"/>
      </w:pPr>
    </w:p>
    <w:p>
      <w:pPr>
        <w:spacing w:after="80" w:before="0" w:line="240"/>
      </w:pPr>
      <w:r>
        <w:rPr>
          <w:rFonts w:ascii="Calibri" w:cs="Calibri" w:eastAsia="Calibri" w:hAnsi="Calibri"/>
          <w:sz w:val="21"/>
          <w:szCs w:val="21"/>
        </w:rPr>
        <w:t xml:space="preserve">Welcome on board. See you at session 1.</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right"/>
    </w:pPr>
    <w:r>
      <w:rPr>
        <w:rFonts w:ascii="Calibri" w:cs="Calibri" w:eastAsia="Calibri" w:hAnsi="Calibri"/>
        <w:color w:val="6B7A90"/>
        <w:sz w:val="16"/>
        <w:szCs w:val="16"/>
      </w:rPr>
      <w:t xml:space="preserve">Page </w:t>
    </w:r>
    <w:r>
      <w:rPr>
        <w:rFonts w:ascii="Calibri" w:cs="Calibri" w:eastAsia="Calibri" w:hAnsi="Calibri"/>
        <w:color w:val="6B7A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358" w:sz="6" w:space="4"/>
      </w:pBdr>
      <w:spacing w:after="0"/>
    </w:pPr>
    <w:r>
      <w:rPr>
        <w:rFonts w:ascii="Calibri" w:cs="Calibri" w:eastAsia="Calibri" w:hAnsi="Calibri"/>
        <w:b/>
        <w:bCs/>
        <w:color w:val="1B3358"/>
        <w:sz w:val="16"/>
        <w:szCs w:val="16"/>
      </w:rPr>
      <w:t xml:space="preserve">TIB SYSTEMS  ·  THE FULL SWEEP  ·  </w:t>
    </w:r>
    <w:r>
      <w:rPr>
        <w:rFonts w:ascii="Calibri" w:cs="Calibri" w:eastAsia="Calibri" w:hAnsi="Calibri"/>
        <w:color w:val="6B7A90"/>
        <w:sz w:val="16"/>
        <w:szCs w:val="16"/>
      </w:rPr>
      <w:t xml:space="preserve">TIB-FS-STU-001  ·  Trainee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80" w:before="0" w:line="24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mbria" w:cs="Cambria" w:eastAsia="Cambria" w:hAnsi="Cambria"/>
      <w:b/>
      <w:bCs/>
      <w:color w:val="1B3358"/>
      <w:sz w:val="30"/>
      <w:szCs w:val="30"/>
    </w:rPr>
  </w:style>
  <w:style w:type="paragraph" w:styleId="Heading2">
    <w:name w:val="Heading 2"/>
    <w:basedOn w:val="Normal"/>
    <w:next w:val="Normal"/>
    <w:qFormat/>
    <w:pPr>
      <w:spacing w:after="80" w:before="180"/>
      <w:outlineLvl w:val="1"/>
    </w:pPr>
    <w:rPr>
      <w:rFonts w:ascii="Cambria" w:cs="Cambria" w:eastAsia="Cambria" w:hAnsi="Cambria"/>
      <w:b/>
      <w:bCs/>
      <w:color w:val="1B335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Handbook V2</dc:title>
  <dc:creator>TIB Systems LLC</dc:creator>
  <cp:lastModifiedBy>Un-named</cp:lastModifiedBy>
  <cp:revision>1</cp:revision>
  <dcterms:created xsi:type="dcterms:W3CDTF">2026-10-21T18:06:21.087Z</dcterms:created>
  <dcterms:modified xsi:type="dcterms:W3CDTF">2026-10-21T18:06:21.087Z</dcterms:modified>
</cp:coreProperties>
</file>

<file path=docProps/custom.xml><?xml version="1.0" encoding="utf-8"?>
<Properties xmlns="http://schemas.openxmlformats.org/officeDocument/2006/custom-properties" xmlns:vt="http://schemas.openxmlformats.org/officeDocument/2006/docPropsVTypes"/>
</file>