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reading-pack-intermediate-week-1"/>
    <w:p>
      <w:pPr>
        <w:pStyle w:val="Heading1"/>
      </w:pPr>
      <w:r>
        <w:t xml:space="preserve">Reading Pack — Intermediate Week 1</w:t>
      </w:r>
    </w:p>
    <w:p>
      <w:pPr>
        <w:pStyle w:val="FirstParagraph"/>
      </w:pPr>
      <w:r>
        <w:rPr>
          <w:iCs/>
          <w:i/>
        </w:rPr>
        <w:t xml:space="preserve">Intermediate · Sessions 1–4 · The Full Sweep · Thornfield Industrial Group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Week 1 is access. Session 1 sets up the course; sessions 2–4 are the access Books — who can do what, how access ends, and how you prove it. Book 4 is your first guided self-study Book.</w:t>
      </w:r>
    </w:p>
    <w:p>
      <w:pPr>
        <w:pStyle w:val="BodyText"/>
      </w:pPr>
      <w:r>
        <w:t xml:space="preserve">Read each session’s section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that session — about 45–60 minutes per session. The course app has the exact screens; this pack has the reasoning the app has no field for: the control objective, the population, what a reviewer will ask, and what to conclude. In the app, open the menu on</w:t>
      </w:r>
      <w:r>
        <w:t xml:space="preserve"> </w:t>
      </w:r>
      <w:r>
        <w:rPr>
          <w:bCs/>
          <w:b/>
        </w:rPr>
        <w:t xml:space="preserve">By session</w:t>
      </w:r>
      <w:r>
        <w:t xml:space="preserve"> </w:t>
      </w:r>
      <w:r>
        <w:t xml:space="preserve">— the rows match the sessions in this pack, and</w:t>
      </w:r>
      <w:r>
        <w:t xml:space="preserve"> </w:t>
      </w:r>
      <w:r>
        <w:rPr>
          <w:bCs/>
          <w:b/>
        </w:rPr>
        <w:t xml:space="preserve">▶ Next</w:t>
      </w:r>
      <w:r>
        <w:t xml:space="preserve"> </w:t>
      </w:r>
      <w:r>
        <w:t xml:space="preserve">takes you through them in the same order.</w:t>
      </w:r>
    </w:p>
    <w:p>
      <w:pPr>
        <w:pStyle w:val="BodyText"/>
      </w:pPr>
      <w:r>
        <w:rPr>
          <w:bCs/>
          <w:b/>
        </w:rPr>
        <w:t xml:space="preserve">Studying on your own?</w:t>
      </w:r>
      <w:r>
        <w:t xml:space="preserve"> </w:t>
      </w:r>
      <w:r>
        <w:t xml:space="preserve">Treat each session below as one sitting of about two hours: read the section, do the Book in SAP with the app beside you, upload your exhibit, then answer the question to bring — out loud or in writing — before moving on.</w:t>
      </w:r>
    </w:p>
    <w:bookmarkEnd w:id="20"/>
    <w:bookmarkStart w:id="21" w:name="X01f2bd9c9176791e244c01d3ef355d8842c001a"/>
    <w:p>
      <w:pPr>
        <w:pStyle w:val="Heading2"/>
      </w:pPr>
      <w:r>
        <w:t xml:space="preserve">Session 1 — Tue · Kickoff — evidence discipline, SAP access check</w:t>
      </w:r>
    </w:p>
    <w:p>
      <w:pPr>
        <w:pStyle w:val="FirstParagraph"/>
      </w:pPr>
      <w:r>
        <w:rPr>
          <w:bCs/>
          <w:b/>
        </w:rPr>
        <w:t xml:space="preserve">Before session 1:</w:t>
      </w:r>
      <w:r>
        <w:t xml:space="preserve"> </w:t>
      </w:r>
      <w:r>
        <w:t xml:space="preserve">pass the Controls Theory prerequisite exam (60%), test your SAP and app logins, and read the Student Handbook and the Trainee User Guide. If you are new to SAP, work through Foundations 101–108 in the app — 108 (evidence discipline) is reviewed in this session.</w:t>
      </w:r>
    </w:p>
    <w:p>
      <w:pPr>
        <w:pStyle w:val="BodyText"/>
      </w:pPr>
      <w:r>
        <w:rPr>
          <w:bCs/>
          <w:b/>
        </w:rPr>
        <w:t xml:space="preserve">In the session:</w:t>
      </w:r>
      <w:r>
        <w:t xml:space="preserve"> </w:t>
      </w:r>
      <w:r>
        <w:t xml:space="preserve">evidence discipline, the SAP access check, and how Defend It works.</w:t>
      </w:r>
      <w:r>
        <w:t xml:space="preserve"> </w:t>
      </w:r>
      <w:r>
        <w:rPr>
          <w:bCs/>
          <w:b/>
        </w:rPr>
        <w:t xml:space="preserve">Self-study:</w:t>
      </w:r>
      <w:r>
        <w:t xml:space="preserve"> </w:t>
      </w:r>
      <w:r>
        <w:t xml:space="preserve">do the same on your own — set up your two windows, open every T-code in Book 1’s Quick Reference, and read the Workpaper Standard.</w:t>
      </w:r>
    </w:p>
    <w:bookmarkEnd w:id="21"/>
    <w:bookmarkStart w:id="31" w:name="session-2-thu-book-1-the-access-list"/>
    <w:p>
      <w:pPr>
        <w:pStyle w:val="Heading2"/>
      </w:pPr>
      <w:r>
        <w:t xml:space="preserve">Session 2 — Thu · Book 1 — The Access List</w:t>
      </w:r>
    </w:p>
    <w:bookmarkStart w:id="30" w:name="book-1-the-access-list"/>
    <w:p>
      <w:pPr>
        <w:pStyle w:val="Heading3"/>
      </w:pPr>
      <w:r>
        <w:t xml:space="preserve">Book 1 — The Access List</w:t>
      </w:r>
    </w:p>
    <w:p>
      <w:pPr>
        <w:pStyle w:val="FirstParagraph"/>
      </w:pPr>
      <w:r>
        <w:rPr>
          <w:iCs/>
          <w:i/>
        </w:rPr>
        <w:t xml:space="preserve">Part I · SoD Conflict Testing</w:t>
      </w:r>
    </w:p>
    <w:p>
      <w:pPr>
        <w:pStyle w:val="BodyText"/>
      </w:pPr>
      <w:r>
        <w:rPr>
          <w:bCs/>
          <w:b/>
        </w:rPr>
        <w:t xml:space="preserve">Scope area:</w:t>
      </w:r>
      <w:r>
        <w:t xml:space="preserve"> </w:t>
      </w:r>
      <w:r>
        <w:t xml:space="preserve">Access · segregation of duties</w:t>
      </w:r>
      <w:r>
        <w:t xml:space="preserve"> </w:t>
      </w:r>
      <w:r>
        <w:rPr>
          <w:bCs/>
          <w:b/>
        </w:rPr>
        <w:t xml:space="preserve">Read it in the Junior Study Guide, Part 1. The full novella, about 25 pages.</w:t>
      </w:r>
    </w:p>
    <w:p>
      <w:pPr>
        <w:pStyle w:val="BodyText"/>
      </w:pPr>
      <w:r>
        <w:t xml:space="preserve">Do not read a summary of this one.</w:t>
      </w:r>
      <w:r>
        <w:t xml:space="preserve"> </w:t>
      </w:r>
      <w:r>
        <w:rPr>
          <w:bCs/>
          <w:b/>
        </w:rPr>
        <w:t xml:space="preserve">Part 1 of your study guide is the complete story</w:t>
      </w:r>
      <w:r>
        <w:t xml:space="preserve">, and everything after it — the rest of the guide, the app, and this course — assumes you have read it.</w:t>
      </w:r>
    </w:p>
    <w:p>
      <w:pPr>
        <w:pStyle w:val="BodyText"/>
      </w:pPr>
      <w:r>
        <w:t xml:space="preserve">Set aside about forty-five minutes and read it start to finish, in one sitting if you can.</w:t>
      </w:r>
    </w:p>
    <w:bookmarkStart w:id="22" w:name="what-to-notice-while-you-read"/>
    <w:p>
      <w:pPr>
        <w:pStyle w:val="Heading4"/>
      </w:pPr>
      <w:r>
        <w:t xml:space="preserve">What to notice while you read</w:t>
      </w:r>
    </w:p>
    <w:p>
      <w:pPr>
        <w:pStyle w:val="FirstParagraph"/>
      </w:pPr>
      <w:r>
        <w:rPr>
          <w:bCs/>
          <w:b/>
        </w:rPr>
        <w:t xml:space="preserve">1. The gap was created by a Tuesday, not by a criminal.</w:t>
      </w:r>
      <w:r>
        <w:t xml:space="preserve"> </w:t>
      </w:r>
      <w:r>
        <w:t xml:space="preserve">A merger, a headcount, and an afternoon when nobody had time to look closely. Almost every control failure you will ever find comes into the world this way.</w:t>
      </w:r>
    </w:p>
    <w:p>
      <w:pPr>
        <w:pStyle w:val="BodyText"/>
      </w:pPr>
      <w:r>
        <w:rPr>
          <w:bCs/>
          <w:b/>
        </w:rPr>
        <w:t xml:space="preserve">2. Nadia’s first question is not about a report.</w:t>
      </w:r>
      <w:r>
        <w:t xml:space="preserve"> </w:t>
      </w:r>
      <w:r>
        <w:t xml:space="preserve">On day one she asks when the GRC ruleset was last revalidated. If the ruleset is wrong, a clean Access Risk Analysis report is a beautifully formatted lie. Notice that she asks it before anyone opens a screen.</w:t>
      </w:r>
    </w:p>
    <w:p>
      <w:pPr>
        <w:pStyle w:val="BodyText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Could it happen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did it happen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are different questions.</w:t>
      </w:r>
      <w:r>
        <w:t xml:space="preserve"> </w:t>
      </w:r>
      <w:r>
        <w:t xml:space="preserve">Priya reaches for the second one. Most juniors do. The control test is the first one.</w:t>
      </w:r>
    </w:p>
    <w:p>
      <w:pPr>
        <w:pStyle w:val="BodyText"/>
      </w:pPr>
      <w:r>
        <w:rPr>
          <w:bCs/>
          <w:b/>
        </w:rPr>
        <w:t xml:space="preserve">4. Thirty-eight of the forty-one conflicts carried a recorded mitigation.</w:t>
      </w:r>
      <w:r>
        <w:t xml:space="preserve"> </w:t>
      </w:r>
      <w:r>
        <w:t xml:space="preserve">Recorded is not tested. Hold that thought — it comes back on the session.</w:t>
      </w:r>
    </w:p>
    <w:p>
      <w:pPr>
        <w:pStyle w:val="BodyText"/>
      </w:pPr>
      <w:r>
        <w:rPr>
          <w:bCs/>
          <w:b/>
        </w:rPr>
        <w:t xml:space="preserve">5. The write-up is the finding.</w:t>
      </w:r>
      <w:r>
        <w:t xml:space="preserve"> </w:t>
      </w:r>
      <w:r>
        <w:t xml:space="preserve">Eight months later, when External Audit asks, the only thing that exists is what somebody typed on the day. Not what they remembered. Not what they meant.</w:t>
      </w:r>
    </w:p>
    <w:bookmarkEnd w:id="22"/>
    <w:bookmarkStart w:id="23" w:name="the-question-to-bring-to-class"/>
    <w:p>
      <w:pPr>
        <w:pStyle w:val="Heading4"/>
      </w:pPr>
      <w:r>
        <w:t xml:space="preserve">The question to bring to class</w:t>
      </w:r>
    </w:p>
    <w:p>
      <w:pPr>
        <w:pStyle w:val="FirstParagraph"/>
      </w:pPr>
      <w:r>
        <w:t xml:space="preserve">Roberto says: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You’ve told me thirty-eight of these are mitigated. So really we’re talking about three. Let’s just deal with the three.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Do you accept that framing?</w:t>
      </w:r>
      <w:r>
        <w:t xml:space="preserve"> </w:t>
      </w:r>
      <w:r>
        <w:t xml:space="preserve">Decide before the session. You will be asked.</w:t>
      </w:r>
    </w:p>
    <w:bookmarkEnd w:id="23"/>
    <w:bookmarkStart w:id="24" w:name="before-the-demo-lab"/>
    <w:p>
      <w:pPr>
        <w:pStyle w:val="Heading4"/>
      </w:pPr>
      <w:r>
        <w:t xml:space="preserve">Before the Demo Lab</w:t>
      </w:r>
    </w:p>
    <w:p>
      <w:pPr>
        <w:pStyle w:val="FirstParagraph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can one person create a vendor and pay it?</w:t>
      </w:r>
    </w:p>
    <w:bookmarkEnd w:id="24"/>
    <w:bookmarkStart w:id="25" w:name="the-screens"/>
    <w:p>
      <w:pPr>
        <w:pStyle w:val="Heading4"/>
      </w:pPr>
      <w:r>
        <w:t xml:space="preserve">The screens</w:t>
      </w:r>
    </w:p>
    <w:tbl>
      <w:tblPr>
        <w:tblStyle w:val="Table"/>
        <w:tblW w:type="pct" w:w="4919"/>
        <w:tblLook w:firstRow="1" w:lastRow="0" w:firstColumn="0" w:lastColumn="0" w:noHBand="0" w:noVBand="0" w:val="0020"/>
        <w:jc w:val="start"/>
      </w:tblPr>
      <w:tblGrid>
        <w:gridCol w:w="3065"/>
        <w:gridCol w:w="47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Risk Analysis</w:t>
            </w:r>
            <w:r>
              <w:t xml:space="preserve"> </w:t>
            </w:r>
            <w:r>
              <w:t xml:space="preserve">(GRC Access 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ruleset against users, roles or profiles and returns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maintenance — open in</w:t>
            </w:r>
            <w:r>
              <w:t xml:space="preserve"> </w:t>
            </w:r>
            <w:r>
              <w:rPr>
                <w:bCs/>
                <w:b/>
              </w:rPr>
              <w:t xml:space="preserve">display</w:t>
            </w:r>
            <w:r>
              <w:t xml:space="preserve"> </w:t>
            </w:r>
            <w:r>
              <w:t xml:space="preserve">to see what’s inside a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information system — search across users and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maintenance — display a user and see their assigned roles</w:t>
            </w:r>
          </w:p>
        </w:tc>
      </w:tr>
    </w:tbl>
    <w:bookmarkEnd w:id="25"/>
    <w:bookmarkStart w:id="26" w:name="X20892dffc3614e1fbdcc78f7275d399552d1da2"/>
    <w:p>
      <w:pPr>
        <w:pStyle w:val="Heading4"/>
      </w:pPr>
      <w:r>
        <w:t xml:space="preserve">Three choices on the selection screen that decide your answer</w:t>
      </w:r>
    </w:p>
    <w:p>
      <w:pPr>
        <w:pStyle w:val="FirstParagraph"/>
      </w:pPr>
      <w:r>
        <w:t xml:space="preserve">Read these carefully.</w:t>
      </w:r>
      <w:r>
        <w:t xml:space="preserve"> </w:t>
      </w:r>
      <w:r>
        <w:rPr>
          <w:bCs/>
          <w:b/>
        </w:rPr>
        <w:t xml:space="preserve">The defaults on this screen will silently answer the question for you if you let them.</w:t>
      </w:r>
    </w:p>
    <w:p>
      <w:pPr>
        <w:pStyle w:val="BodyText"/>
      </w:pPr>
      <w:r>
        <w:rPr>
          <w:bCs/>
          <w:b/>
        </w:rPr>
        <w:t xml:space="preserve">Choice one — the analysis level.</w:t>
      </w:r>
      <w:r>
        <w:t xml:space="preserve"> </w:t>
      </w:r>
      <w:r>
        <w:t xml:space="preserve">User, role, profile, or HR object.</w:t>
      </w:r>
    </w:p>
    <w:p>
      <w:pPr>
        <w:pStyle w:val="BodyText"/>
      </w:pPr>
      <w:r>
        <w:rPr>
          <w:iCs/>
          <w:i/>
        </w:rPr>
        <w:t xml:space="preserve">Role level</w:t>
      </w:r>
      <w:r>
        <w:t xml:space="preserve"> </w:t>
      </w:r>
      <w:r>
        <w:t xml:space="preserve">tells you which roles are internally conflicted.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tell you who holds them. A conflicted role assigned to nobody is housekeeping. A clean role combined with another clean role, on one person, is a live conflict that role-level analysis will never show you.</w:t>
      </w:r>
    </w:p>
    <w:p>
      <w:pPr>
        <w:pStyle w:val="BodyText"/>
      </w:pPr>
      <w:r>
        <w:t xml:space="preserve">Book 1 is about a person who could create a vendor and pay it.</w:t>
      </w:r>
      <w:r>
        <w:t xml:space="preserve"> </w:t>
      </w:r>
      <w:r>
        <w:rPr>
          <w:bCs/>
          <w:b/>
        </w:rPr>
        <w:t xml:space="preserve">That’s a user-level question.</w:t>
      </w:r>
    </w:p>
    <w:p>
      <w:pPr>
        <w:pStyle w:val="BodyText"/>
      </w:pPr>
      <w:r>
        <w:rPr>
          <w:bCs/>
          <w:b/>
        </w:rPr>
        <w:t xml:space="preserve">Choice two — the ruleset.</w:t>
      </w:r>
      <w:r>
        <w:t xml:space="preserve"> </w:t>
      </w:r>
      <w:r>
        <w:t xml:space="preserve">Standard SAP, or the client’s customised set.</w:t>
      </w:r>
    </w:p>
    <w:p>
      <w:pPr>
        <w:pStyle w:val="BodyText"/>
      </w:pPr>
      <w:r>
        <w:t xml:space="preserve">Never assume. If a client has tuned their ruleset — and most have — then the conflicts you find are the conflicts</w:t>
      </w:r>
      <w:r>
        <w:t xml:space="preserve"> </w:t>
      </w:r>
      <w:r>
        <w:rPr>
          <w:iCs/>
          <w:i/>
        </w:rPr>
        <w:t xml:space="preserve">they</w:t>
      </w:r>
      <w:r>
        <w:t xml:space="preserve"> </w:t>
      </w:r>
      <w:r>
        <w:t xml:space="preserve">decided to look for. Part of the test is asking who last changed it, and when.</w:t>
      </w:r>
    </w:p>
    <w:p>
      <w:pPr>
        <w:pStyle w:val="BodyText"/>
      </w:pPr>
      <w:r>
        <w:rPr>
          <w:bCs/>
          <w:b/>
        </w:rPr>
        <w:t xml:space="preserve">Choice three — mitigated risks, included or excluded.</w:t>
      </w:r>
    </w:p>
    <w:p>
      <w:pPr>
        <w:pStyle w:val="BodyText"/>
      </w:pPr>
      <w:r>
        <w:t xml:space="preserve">This is Roberto’s argument from the story, sitting on the screen as a checkbox. Excluding mitigated risks gives you three. Including them gives you forty-one.</w:t>
      </w:r>
    </w:p>
    <w:p>
      <w:pPr>
        <w:pStyle w:val="BodyText"/>
      </w:pPr>
      <w:r>
        <w:t xml:space="preserve">Same system, same instant, two numbers, one checkbox between them.</w:t>
      </w:r>
    </w:p>
    <w:bookmarkEnd w:id="26"/>
    <w:bookmarkStart w:id="27" w:name="confirming-a-conflict-independently"/>
    <w:p>
      <w:pPr>
        <w:pStyle w:val="Heading4"/>
      </w:pPr>
      <w:r>
        <w:t xml:space="preserve">Confirming a conflict independently</w:t>
      </w:r>
    </w:p>
    <w:p>
      <w:pPr>
        <w:pStyle w:val="FirstParagraph"/>
      </w:pPr>
      <w:r>
        <w:t xml:space="preserve">The report says a user has a conflict. Don’t take the report’s word for it.</w:t>
      </w:r>
    </w:p>
    <w:p>
      <w:pPr>
        <w:pStyle w:val="BodyText"/>
      </w:pPr>
      <w:r>
        <w:rPr>
          <w:rStyle w:val="VerbatimChar"/>
        </w:rPr>
        <w:t xml:space="preserve">SUIM</w:t>
      </w:r>
      <w:r>
        <w:t xml:space="preserve"> </w:t>
      </w:r>
      <w:r>
        <w:t xml:space="preserve">tells you which roles the user holds.</w:t>
      </w:r>
    </w:p>
    <w:p>
      <w:pPr>
        <w:pStyle w:val="BodyText"/>
      </w:pPr>
      <w:r>
        <w:rPr>
          <w:rStyle w:val="VerbatimChar"/>
        </w:rPr>
        <w:t xml:space="preserve">PFCG</w:t>
      </w:r>
      <w:r>
        <w:t xml:space="preserve"> </w:t>
      </w:r>
      <w:r>
        <w:rPr>
          <w:bCs/>
          <w:b/>
        </w:rPr>
        <w:t xml:space="preserve">in display</w:t>
      </w:r>
      <w:r>
        <w:t xml:space="preserve"> </w:t>
      </w:r>
      <w:r>
        <w:t xml:space="preserve">— and type the display path, not the change path — shows you what’s inside a role. Go to the Authorizations tab and drill down to the object.</w:t>
      </w:r>
    </w:p>
    <w:p>
      <w:pPr>
        <w:pStyle w:val="BodyText"/>
      </w:pPr>
      <w:r>
        <w:rPr>
          <w:bCs/>
          <w:b/>
        </w:rPr>
        <w:t xml:space="preserve">Two possibilities, and they change how you write it up: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role contains both halves</w:t>
      </w:r>
      <w:r>
        <w:t xml:space="preserve"> </w:t>
      </w:r>
      <w:r>
        <w:t xml:space="preserve">of the conflict → a role</w:t>
      </w:r>
      <w:r>
        <w:t xml:space="preserve"> </w:t>
      </w:r>
      <w:r>
        <w:rPr>
          <w:bCs/>
          <w:b/>
        </w:rPr>
        <w:t xml:space="preserve">design</w:t>
      </w:r>
      <w:r>
        <w:t xml:space="preserve"> </w:t>
      </w:r>
      <w:r>
        <w:t xml:space="preserve">problem.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separate roles each contain one half</w:t>
      </w:r>
      <w:r>
        <w:t xml:space="preserve"> </w:t>
      </w:r>
      <w:r>
        <w:t xml:space="preserve">→ a role</w:t>
      </w:r>
      <w:r>
        <w:t xml:space="preserve"> </w:t>
      </w:r>
      <w:r>
        <w:rPr>
          <w:bCs/>
          <w:b/>
        </w:rPr>
        <w:t xml:space="preserve">assignment</w:t>
      </w:r>
      <w:r>
        <w:t xml:space="preserve"> </w:t>
      </w:r>
      <w:r>
        <w:t xml:space="preserve">problem.</w:t>
      </w:r>
    </w:p>
    <w:p>
      <w:pPr>
        <w:pStyle w:val="FirstParagraph"/>
      </w:pPr>
      <w:r>
        <w:t xml:space="preserve">Different root cause. Different remediation. Different owner.</w:t>
      </w:r>
      <w:r>
        <w:t xml:space="preserve"> </w:t>
      </w:r>
      <w:r>
        <w:rPr>
          <w:bCs/>
          <w:b/>
        </w:rPr>
        <w:t xml:space="preserve">Your finding is thin if you can’t say which.</w:t>
      </w:r>
    </w:p>
    <w:bookmarkEnd w:id="27"/>
    <w:bookmarkStart w:id="28" w:name="what-youll-produce-on-the-session"/>
    <w:p>
      <w:pPr>
        <w:pStyle w:val="Heading4"/>
      </w:pPr>
      <w:r>
        <w:t xml:space="preserve">What you’ll produce on the session</w:t>
      </w:r>
    </w:p>
    <w:p>
      <w:pPr>
        <w:numPr>
          <w:ilvl w:val="0"/>
          <w:numId w:val="1002"/>
        </w:numPr>
        <w:pStyle w:val="Compact"/>
      </w:pPr>
      <w:r>
        <w:t xml:space="preserve">Both conflict numbers — excluding and including mitigated risks</w:t>
      </w:r>
    </w:p>
    <w:p>
      <w:pPr>
        <w:numPr>
          <w:ilvl w:val="0"/>
          <w:numId w:val="1002"/>
        </w:numPr>
        <w:pStyle w:val="Compact"/>
      </w:pPr>
      <w:r>
        <w:t xml:space="preserve">One line saying whether the conflict comes from one role or two</w:t>
      </w:r>
    </w:p>
    <w:p>
      <w:pPr>
        <w:numPr>
          <w:ilvl w:val="0"/>
          <w:numId w:val="1002"/>
        </w:numPr>
        <w:pStyle w:val="Compact"/>
      </w:pPr>
      <w:r>
        <w:t xml:space="preserve">Screenshots: selection criteria</w:t>
      </w:r>
      <w:r>
        <w:t xml:space="preserve"> </w:t>
      </w:r>
      <w:r>
        <w:rPr>
          <w:bCs/>
          <w:b/>
        </w:rPr>
        <w:t xml:space="preserve">first</w:t>
      </w:r>
      <w:r>
        <w:t xml:space="preserve">, result</w:t>
      </w:r>
      <w:r>
        <w:t xml:space="preserve"> </w:t>
      </w:r>
      <w:r>
        <w:rPr>
          <w:bCs/>
          <w:b/>
        </w:rPr>
        <w:t xml:space="preserve">second</w:t>
      </w:r>
    </w:p>
    <w:bookmarkEnd w:id="28"/>
    <w:bookmarkStart w:id="29" w:name="the-question-to-bring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Did you confirm the conflict at user level, or only trust the role-level report? What mitigating control exists, and when was it last reviewed?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29"/>
    <w:bookmarkEnd w:id="30"/>
    <w:bookmarkEnd w:id="31"/>
    <w:bookmarkStart w:id="44" w:name="session-3-sat-book-17-the-leaver"/>
    <w:p>
      <w:pPr>
        <w:pStyle w:val="Heading2"/>
      </w:pPr>
      <w:r>
        <w:t xml:space="preserve">Session 3 — Sat · Book 17 — The Leaver</w:t>
      </w:r>
    </w:p>
    <w:bookmarkStart w:id="41" w:name="book-17-the-leaver"/>
    <w:p>
      <w:pPr>
        <w:pStyle w:val="Heading3"/>
      </w:pPr>
      <w:r>
        <w:t xml:space="preserve">Book 17 — The Leaver</w:t>
      </w:r>
    </w:p>
    <w:p>
      <w:pPr>
        <w:pStyle w:val="FirstParagraph"/>
      </w:pPr>
      <w:r>
        <w:rPr>
          <w:iCs/>
          <w:i/>
        </w:rPr>
        <w:t xml:space="preserve">Part I · Joiner-Mover-Leaver (Termination Access) Testing</w:t>
      </w:r>
    </w:p>
    <w:p>
      <w:pPr>
        <w:pStyle w:val="BodyText"/>
      </w:pPr>
      <w:r>
        <w:rPr>
          <w:bCs/>
          <w:b/>
        </w:rPr>
        <w:t xml:space="preserve">Access · joiner-mover-leaver</w:t>
      </w:r>
      <w:r>
        <w:t xml:space="preserve"> </w:t>
      </w:r>
      <w:r>
        <w:rPr>
          <w:iCs/>
          <w:i/>
        </w:rPr>
        <w:t xml:space="preserve">(this is an anchor — you’ll cover it at depth on the session, and Workpaper 1, assigned in session 6, draws on it)</w:t>
      </w:r>
    </w:p>
    <w:p>
      <w:pPr>
        <w:pStyle w:val="BodyText"/>
      </w:pPr>
      <w:r>
        <w:t xml:space="preserve">A terminated employee logged into SAP four days ago. Five weeks after his last day.</w:t>
      </w:r>
    </w:p>
    <w:p>
      <w:pPr>
        <w:pStyle w:val="BodyText"/>
      </w:pPr>
      <w:r>
        <w:t xml:space="preserve">Joiner-Mover-Leaver has three parts, and Leaver is always the weakest, for a very human reason. Joining is urgent — someone can’t work. Moving is urgent — someone can’t work.</w:t>
      </w:r>
      <w:r>
        <w:t xml:space="preserve"> </w:t>
      </w:r>
      <w:r>
        <w:rPr>
          <w:bCs/>
          <w:b/>
        </w:rPr>
        <w:t xml:space="preserve">Leaving is urgent to nobody.</w:t>
      </w:r>
      <w:r>
        <w:t xml:space="preserve"> </w:t>
      </w:r>
      <w:r>
        <w:t xml:space="preserve">HR closes the file. IT never hears. The account stays live.</w:t>
      </w:r>
    </w:p>
    <w:p>
      <w:pPr>
        <w:pStyle w:val="BodyText"/>
      </w:pPr>
      <w:r>
        <w:rPr>
          <w:bCs/>
          <w:b/>
        </w:rPr>
        <w:t xml:space="preserve">What’s different:</w:t>
      </w:r>
      <w:r>
        <w:t xml:space="preserve"> </w:t>
      </w:r>
      <w:r>
        <w:t xml:space="preserve">everything turns on where the population comes from. Take it from IT’s list of disabled accounts and you’ve defined your population as</w:t>
      </w:r>
      <w:r>
        <w:t xml:space="preserve"> </w:t>
      </w:r>
      <w:r>
        <w:t xml:space="preserve">“</w:t>
      </w:r>
      <w:r>
        <w:t xml:space="preserve">the ones that worked.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Remember:</w:t>
      </w:r>
      <w:r>
        <w:t xml:space="preserve"> </w:t>
      </w:r>
      <w:r>
        <w:t xml:space="preserve">the population comes from</w:t>
      </w:r>
      <w:r>
        <w:t xml:space="preserve"> </w:t>
      </w:r>
      <w:r>
        <w:rPr>
          <w:bCs/>
          <w:b/>
        </w:rPr>
        <w:t xml:space="preserve">HR</w:t>
      </w:r>
      <w:r>
        <w:t xml:space="preserve">, not from IT.</w:t>
      </w:r>
    </w:p>
    <w:bookmarkStart w:id="32" w:name="before-the-demo-lab-1"/>
    <w:p>
      <w:pPr>
        <w:pStyle w:val="Heading4"/>
      </w:pPr>
      <w:r>
        <w:t xml:space="preserve">Before the Demo Lab</w:t>
      </w:r>
    </w:p>
    <w:p>
      <w:pPr>
        <w:pStyle w:val="FirstParagraph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is the account still live, and was it used after they left?</w:t>
      </w:r>
    </w:p>
    <w:p>
      <w:pPr>
        <w:pStyle w:val="BodyText"/>
      </w:pPr>
      <w:r>
        <w:rPr>
          <w:bCs/>
          <w:b/>
        </w:rPr>
        <w:t xml:space="preserve">Workpaper 1 draws on this Book. Read this section twice.</w:t>
      </w:r>
    </w:p>
    <w:bookmarkEnd w:id="32"/>
    <w:bookmarkStart w:id="33" w:name="the-screens-1"/>
    <w:p>
      <w:pPr>
        <w:pStyle w:val="Heading4"/>
      </w:pPr>
      <w:r>
        <w:t xml:space="preserve">The screens</w:t>
      </w:r>
    </w:p>
    <w:tbl>
      <w:tblPr>
        <w:tblStyle w:val="Table"/>
        <w:tblW w:type="pct" w:w="4898"/>
        <w:tblLook w:firstRow="1" w:lastRow="0" w:firstColumn="0" w:lastColumn="0" w:noHBand="0" w:noVBand="0" w:val="0020"/>
        <w:jc w:val="start"/>
      </w:tblPr>
      <w:tblGrid>
        <w:gridCol w:w="1939"/>
        <w:gridCol w:w="58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user at a time — validity, lock status, last logon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population view — users by logon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post-termination session actually did, if you need to prove it</w:t>
            </w:r>
          </w:p>
        </w:tc>
      </w:tr>
    </w:tbl>
    <w:bookmarkEnd w:id="33"/>
    <w:bookmarkStart w:id="34" w:name="start-with-one-person"/>
    <w:p>
      <w:pPr>
        <w:pStyle w:val="Heading4"/>
      </w:pPr>
      <w:r>
        <w:t xml:space="preserve">Start with one person</w:t>
      </w:r>
    </w:p>
    <w:p>
      <w:pPr>
        <w:pStyle w:val="FirstParagraph"/>
      </w:pPr>
      <w:r>
        <w:rPr>
          <w:rStyle w:val="VerbatimChar"/>
        </w:rPr>
        <w:t xml:space="preserve">SU01</w:t>
      </w:r>
      <w:r>
        <w:t xml:space="preserve">,</w:t>
      </w:r>
      <w:r>
        <w:t xml:space="preserve"> </w:t>
      </w:r>
      <w:r>
        <w:rPr>
          <w:bCs/>
          <w:b/>
        </w:rPr>
        <w:t xml:space="preserve">display</w:t>
      </w:r>
      <w:r>
        <w:t xml:space="preserve"> </w:t>
      </w:r>
      <w:r>
        <w:t xml:space="preserve">mode. Logon Data tab.</w:t>
      </w:r>
    </w:p>
    <w:p>
      <w:pPr>
        <w:pStyle w:val="BodyText"/>
      </w:pPr>
      <w:r>
        <w:t xml:space="preserve">Three fields on that screen, and juniors treat them as one thing.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3543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What it tells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date the account is set to expire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Locked / unlocked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status right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logon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date it was actually 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These are three different facts.</w:t>
      </w:r>
    </w:p>
    <w:p>
      <w:pPr>
        <w:pStyle w:val="BodyText"/>
      </w:pPr>
      <w:r>
        <w:t xml:space="preserve">An account can be unlocked, with no expiry date, and never used since 2019. That’s an access finding with no activity behind it.</w:t>
      </w:r>
    </w:p>
    <w:p>
      <w:pPr>
        <w:pStyle w:val="BodyText"/>
      </w:pPr>
      <w:r>
        <w:t xml:space="preserve">An account can be locked</w:t>
      </w:r>
      <w:r>
        <w:t xml:space="preserve"> </w:t>
      </w:r>
      <w:r>
        <w:rPr>
          <w:iCs/>
          <w:i/>
        </w:rPr>
        <w:t xml:space="preserve">today</w:t>
      </w:r>
      <w:r>
        <w:t xml:space="preserve"> </w:t>
      </w:r>
      <w:r>
        <w:t xml:space="preserve">— and have logged on three weeks after the person was terminated. That’s far worse. And if you only asked</w:t>
      </w:r>
      <w:r>
        <w:t xml:space="preserve"> </w:t>
      </w:r>
      <w:r>
        <w:t xml:space="preserve">“</w:t>
      </w:r>
      <w:r>
        <w:t xml:space="preserve">is it locked now,</w:t>
      </w:r>
      <w:r>
        <w:t xml:space="preserve">”</w:t>
      </w:r>
      <w:r>
        <w:t xml:space="preserve"> </w:t>
      </w:r>
      <w:r>
        <w:t xml:space="preserve">you called it clean.</w:t>
      </w:r>
    </w:p>
    <w:bookmarkEnd w:id="34"/>
    <w:bookmarkStart w:id="35" w:name="then-the-population"/>
    <w:p>
      <w:pPr>
        <w:pStyle w:val="Heading4"/>
      </w:pPr>
      <w:r>
        <w:t xml:space="preserve">Then the population</w:t>
      </w:r>
    </w:p>
    <w:p>
      <w:pPr>
        <w:pStyle w:val="FirstParagraph"/>
      </w:pPr>
      <w:r>
        <w:t xml:space="preserve">One user at a time doesn’t scale to a termination list.</w:t>
      </w:r>
    </w:p>
    <w:p>
      <w:pPr>
        <w:pStyle w:val="BodyText"/>
      </w:pPr>
      <w:r>
        <w:rPr>
          <w:rStyle w:val="VerbatimChar"/>
        </w:rPr>
        <w:t xml:space="preserve">SUIM</w:t>
      </w:r>
      <w:r>
        <w:t xml:space="preserve"> </w:t>
      </w:r>
      <w:r>
        <w:t xml:space="preserve">→ the report for</w:t>
      </w:r>
      <w:r>
        <w:t xml:space="preserve"> </w:t>
      </w:r>
      <w:r>
        <w:rPr>
          <w:bCs/>
          <w:b/>
        </w:rPr>
        <w:t xml:space="preserve">users by logon date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Two mistakes to avoid, and both of them run perfectly:</w:t>
      </w:r>
    </w:p>
    <w:p>
      <w:pPr>
        <w:pStyle w:val="BodyText"/>
      </w:pPr>
      <w:r>
        <w:rPr>
          <w:bCs/>
          <w:b/>
        </w:rPr>
        <w:t xml:space="preserve">Mistake one — the wrong field.</w:t>
      </w:r>
      <w:r>
        <w:t xml:space="preserve"> </w:t>
      </w:r>
      <w:r>
        <w:t xml:space="preserve">Filtering on account</w:t>
      </w:r>
      <w:r>
        <w:t xml:space="preserve"> </w:t>
      </w:r>
      <w:r>
        <w:rPr>
          <w:iCs/>
          <w:i/>
        </w:rPr>
        <w:t xml:space="preserve">validity</w:t>
      </w:r>
      <w:r>
        <w:t xml:space="preserve"> </w:t>
      </w:r>
      <w:r>
        <w:t xml:space="preserve">when the question is about account</w:t>
      </w:r>
      <w:r>
        <w:t xml:space="preserve"> </w:t>
      </w:r>
      <w:r>
        <w:rPr>
          <w:iCs/>
          <w:i/>
        </w:rPr>
        <w:t xml:space="preserve">activity</w:t>
      </w:r>
      <w:r>
        <w:t xml:space="preserve">. Different fields, answering different questions. The report runs. The output looks like evidence. It answers a question nobody asked.</w:t>
      </w:r>
    </w:p>
    <w:p>
      <w:pPr>
        <w:pStyle w:val="BodyText"/>
      </w:pPr>
      <w:r>
        <w:t xml:space="preserve">That’s the same error you met four times in Week 1, wearing new clothes. Reviews instead of sessions. IT instead of HR. Tickets instead of transports.</w:t>
      </w:r>
      <w:r>
        <w:t xml:space="preserve"> </w:t>
      </w:r>
      <w:r>
        <w:rPr>
          <w:bCs/>
          <w:b/>
        </w:rPr>
        <w:t xml:space="preserve">And now validity instead of logon.</w:t>
      </w:r>
    </w:p>
    <w:p>
      <w:pPr>
        <w:pStyle w:val="BodyText"/>
      </w:pPr>
      <w:r>
        <w:rPr>
          <w:bCs/>
          <w:b/>
        </w:rPr>
        <w:t xml:space="preserve">Mistake two — no boundary.</w:t>
      </w:r>
      <w:r>
        <w:t xml:space="preserve"> </w:t>
      </w:r>
      <w:r>
        <w:t xml:space="preserve">Right field, no date restriction. Every user in the system, ever. No period, no scope, no defensible edge. That isn’t a population, it’s an extract.</w:t>
      </w:r>
    </w:p>
    <w:bookmarkEnd w:id="35"/>
    <w:bookmarkStart w:id="36" w:name="one-control-thats-almost-invisible"/>
    <w:p>
      <w:pPr>
        <w:pStyle w:val="Heading4"/>
      </w:pPr>
      <w:r>
        <w:t xml:space="preserve">One control that’s almost invisible</w:t>
      </w:r>
    </w:p>
    <w:p>
      <w:pPr>
        <w:pStyle w:val="FirstParagraph"/>
      </w:pPr>
      <w:r>
        <w:t xml:space="preserve">At the end of a selection field there’s a small arrow. That’s</w:t>
      </w:r>
      <w:r>
        <w:t xml:space="preserve"> </w:t>
      </w:r>
      <w:r>
        <w:rPr>
          <w:bCs/>
          <w:b/>
        </w:rPr>
        <w:t xml:space="preserve">multiple selection</w:t>
      </w:r>
      <w:r>
        <w:t xml:space="preserve">.</w:t>
      </w:r>
    </w:p>
    <w:p>
      <w:pPr>
        <w:pStyle w:val="BodyText"/>
      </w:pPr>
      <w:r>
        <w:t xml:space="preserve">Ranges, exclusions — and</w:t>
      </w:r>
      <w:r>
        <w:t xml:space="preserve"> </w:t>
      </w:r>
      <w:r>
        <w:rPr>
          <w:bCs/>
          <w:b/>
        </w:rPr>
        <w:t xml:space="preserve">you can paste a list of user IDs straight in</w:t>
      </w:r>
      <w:r>
        <w:t xml:space="preserve">. That’s how you handle a termination list of forty names without typing forty names.</w:t>
      </w:r>
    </w:p>
    <w:p>
      <w:pPr>
        <w:pStyle w:val="BodyText"/>
      </w:pPr>
      <w:r>
        <w:t xml:space="preserve">It’s the most useful control on the screen, and almost nobody finds it on their own.</w:t>
      </w:r>
    </w:p>
    <w:bookmarkEnd w:id="36"/>
    <w:bookmarkStart w:id="37" w:name="read-the-header-before-the-rows"/>
    <w:p>
      <w:pPr>
        <w:pStyle w:val="Heading4"/>
      </w:pPr>
      <w:r>
        <w:t xml:space="preserve">Read the header before the rows</w:t>
      </w:r>
    </w:p>
    <w:p>
      <w:pPr>
        <w:pStyle w:val="FirstParagraph"/>
      </w:pPr>
      <w:r>
        <w:t xml:space="preserve">When the report runs, read the</w:t>
      </w:r>
      <w:r>
        <w:t xml:space="preserve"> </w:t>
      </w:r>
      <w:r>
        <w:rPr>
          <w:bCs/>
          <w:b/>
        </w:rPr>
        <w:t xml:space="preserve">header</w:t>
      </w:r>
      <w:r>
        <w:t xml:space="preserve"> </w:t>
      </w:r>
      <w:r>
        <w:t xml:space="preserve">first. How many records. What selection produced them. What the columns mean.</w:t>
      </w:r>
    </w:p>
    <w:p>
      <w:pPr>
        <w:pStyle w:val="BodyText"/>
      </w:pPr>
      <w:r>
        <w:rPr>
          <w:bCs/>
          <w:b/>
        </w:rPr>
        <w:t xml:space="preserve">The rows lie to you if you don’t know what produced them.</w:t>
      </w:r>
    </w:p>
    <w:bookmarkEnd w:id="37"/>
    <w:bookmarkStart w:id="38" w:name="capturing-evidence"/>
    <w:p>
      <w:pPr>
        <w:pStyle w:val="Heading4"/>
      </w:pPr>
      <w:r>
        <w:t xml:space="preserve">Capturing evidence</w:t>
      </w:r>
    </w:p>
    <w:p>
      <w:pPr>
        <w:pStyle w:val="FirstParagraph"/>
      </w:pPr>
      <w:r>
        <w:t xml:space="preserve">This is the switch. You’ve stopped testing. You’re collecting.</w:t>
      </w:r>
    </w:p>
    <w:p>
      <w:pPr>
        <w:pStyle w:val="BodyText"/>
      </w:pPr>
      <w:r>
        <w:rPr>
          <w:bCs/>
          <w:b/>
        </w:rPr>
        <w:t xml:space="preserve">Export the population.</w:t>
      </w:r>
      <w:r>
        <w:t xml:space="preserve"> </w:t>
      </w:r>
      <w:r>
        <w:t xml:space="preserve">The spreadsheet icon → local file → spreadsheet. That’s how the population leaves SAP and lands in your workpaper.</w:t>
      </w:r>
    </w:p>
    <w:p>
      <w:pPr>
        <w:pStyle w:val="BodyText"/>
      </w:pPr>
      <w:r>
        <w:t xml:space="preserve">And notice what the exported file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contain: the selection criteria. It’s just rows.</w:t>
      </w:r>
    </w:p>
    <w:p>
      <w:pPr>
        <w:pStyle w:val="BodyText"/>
      </w:pPr>
      <w:r>
        <w:rPr>
          <w:bCs/>
          <w:b/>
        </w:rPr>
        <w:t xml:space="preserve">Which is why you screenshot the selection screen, not just the result.</w:t>
      </w:r>
    </w:p>
    <w:p>
      <w:pPr>
        <w:pStyle w:val="BodyText"/>
      </w:pPr>
      <w:r>
        <w:t xml:space="preserve">Your evidence is</w:t>
      </w:r>
      <w:r>
        <w:t xml:space="preserve"> </w:t>
      </w:r>
      <w:r>
        <w:rPr>
          <w:bCs/>
          <w:b/>
        </w:rPr>
        <w:t xml:space="preserve">two images, not one</w:t>
      </w:r>
      <w:r>
        <w:t xml:space="preserve">. Three things must be visible between them:</w:t>
      </w:r>
    </w:p>
    <w:p>
      <w:pPr>
        <w:numPr>
          <w:ilvl w:val="0"/>
          <w:numId w:val="1003"/>
        </w:numPr>
        <w:pStyle w:val="Compact"/>
      </w:pPr>
      <w:r>
        <w:t xml:space="preserve">The system and client</w:t>
      </w:r>
    </w:p>
    <w:p>
      <w:pPr>
        <w:numPr>
          <w:ilvl w:val="0"/>
          <w:numId w:val="1003"/>
        </w:numPr>
        <w:pStyle w:val="Compact"/>
      </w:pPr>
      <w:r>
        <w:t xml:space="preserve">The selection criteria</w:t>
      </w:r>
    </w:p>
    <w:p>
      <w:pPr>
        <w:numPr>
          <w:ilvl w:val="0"/>
          <w:numId w:val="1003"/>
        </w:numPr>
        <w:pStyle w:val="Compact"/>
      </w:pPr>
      <w:r>
        <w:t xml:space="preserve">The date you ran it</w:t>
      </w:r>
    </w:p>
    <w:p>
      <w:pPr>
        <w:pStyle w:val="FirstParagraph"/>
      </w:pPr>
      <w:r>
        <w:t xml:space="preserve">If a reviewer can’t reproduce your extract from your screenshots, you haven’t documented a test. You’ve taken a photograph.</w:t>
      </w:r>
    </w:p>
    <w:bookmarkEnd w:id="38"/>
    <w:bookmarkStart w:id="39" w:name="what-youll-produce-on-the-session-1"/>
    <w:p>
      <w:pPr>
        <w:pStyle w:val="Heading4"/>
      </w:pPr>
      <w:r>
        <w:t xml:space="preserve">What you’ll produce on the session</w:t>
      </w:r>
    </w:p>
    <w:p>
      <w:pPr>
        <w:pStyle w:val="FirstParagraph"/>
      </w:pPr>
      <w:r>
        <w:t xml:space="preserve">Your exception list, split into</w:t>
      </w:r>
      <w:r>
        <w:t xml:space="preserve"> </w:t>
      </w:r>
      <w:r>
        <w:rPr>
          <w:bCs/>
          <w:b/>
        </w:rPr>
        <w:t xml:space="preserve">two columns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Still active</w:t>
      </w:r>
    </w:p>
    <w:p>
      <w:pPr>
        <w:numPr>
          <w:ilvl w:val="0"/>
          <w:numId w:val="1004"/>
        </w:numPr>
        <w:pStyle w:val="Compact"/>
      </w:pPr>
      <w:r>
        <w:t xml:space="preserve">Active</w:t>
      </w:r>
      <w:r>
        <w:t xml:space="preserve"> </w:t>
      </w:r>
      <w:r>
        <w:rPr>
          <w:bCs/>
          <w:b/>
        </w:rPr>
        <w:t xml:space="preserve">with post-termination logon</w:t>
      </w:r>
    </w:p>
    <w:p>
      <w:pPr>
        <w:pStyle w:val="FirstParagraph"/>
      </w:pPr>
      <w:r>
        <w:t xml:space="preserve">Two columns, not one. They’re two different severities and they must never be merged into one number.</w:t>
      </w:r>
    </w:p>
    <w:bookmarkEnd w:id="39"/>
    <w:bookmarkStart w:id="40" w:name="the-question-to-bring-1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Is your leaver population from HR or from SAP? Show me the gap in days between termination and lock — what is your threshold, and who set it?</w:t>
      </w:r>
    </w:p>
    <w:p>
      <w:pPr>
        <w:pStyle w:val="FirstParagraph"/>
      </w:pPr>
      <w:r>
        <w:t xml:space="preserve">Decide your answer before the session — in Defend It, someone will ask it.</w:t>
      </w:r>
    </w:p>
    <w:p>
      <w:pPr>
        <w:pStyle w:val="BodyText"/>
      </w:pPr>
      <w:r>
        <w:rPr>
          <w:bCs/>
          <w:b/>
        </w:rPr>
        <w:t xml:space="preserve">Guided self-study set in this session:</w:t>
      </w:r>
      <w:r>
        <w:t xml:space="preserve"> </w:t>
      </w:r>
      <w:r>
        <w:t xml:space="preserve">Book 4 — The Next Badge. Work through it in the app before session 4; it is checked at the start of that class.</w:t>
      </w:r>
    </w:p>
    <w:bookmarkEnd w:id="40"/>
    <w:bookmarkEnd w:id="41"/>
    <w:bookmarkStart w:id="43" w:name="book-4-the-next-badge-guided-self-study"/>
    <w:p>
      <w:pPr>
        <w:pStyle w:val="Heading3"/>
      </w:pPr>
      <w:r>
        <w:t xml:space="preserve">Book 4 — The Next Badge (guided self-study)</w:t>
      </w:r>
    </w:p>
    <w:p>
      <w:pPr>
        <w:pStyle w:val="FirstParagraph"/>
      </w:pPr>
      <w:r>
        <w:rPr>
          <w:iCs/>
          <w:i/>
        </w:rPr>
        <w:t xml:space="preserve">Part I · New-Hire &amp; Turnover Access Testing</w:t>
      </w:r>
    </w:p>
    <w:p>
      <w:pPr>
        <w:pStyle w:val="BodyText"/>
      </w:pPr>
      <w:r>
        <w:rPr>
          <w:bCs/>
          <w:b/>
        </w:rPr>
        <w:t xml:space="preserve">Access · durability of remediation</w:t>
      </w:r>
    </w:p>
    <w:p>
      <w:pPr>
        <w:pStyle w:val="BodyText"/>
      </w:pPr>
      <w:r>
        <w:t xml:space="preserve">Denise Marsh retires. Someone new inherits her seat, her workload, and — the question is — her access.</w:t>
      </w:r>
    </w:p>
    <w:p>
      <w:pPr>
        <w:pStyle w:val="BodyText"/>
      </w:pPr>
      <w:r>
        <w:t xml:space="preserve">The role split from Book 1 was a good fix. But a fix is a fix only if it survives the next person, the next holiday cover, and the next time somebody urgently needs to get something done.</w:t>
      </w:r>
    </w:p>
    <w:p>
      <w:pPr>
        <w:pStyle w:val="BodyText"/>
      </w:pPr>
      <w:r>
        <w:rPr>
          <w:bCs/>
          <w:b/>
        </w:rPr>
        <w:t xml:space="preserve">What’s different:</w:t>
      </w:r>
      <w:r>
        <w:t xml:space="preserve"> </w:t>
      </w:r>
      <w:r>
        <w:t xml:space="preserve">this Book isn’t about finding a conflict. It’s about whether a remediation was</w:t>
      </w:r>
      <w:r>
        <w:t xml:space="preserve"> </w:t>
      </w:r>
      <w:r>
        <w:rPr>
          <w:bCs/>
          <w:b/>
        </w:rPr>
        <w:t xml:space="preserve">durable or personal</w:t>
      </w:r>
      <w:r>
        <w:t xml:space="preserve">. A role split that gets quietly undone the first time someone covers a colleague’s leave was never a control.</w:t>
      </w:r>
    </w:p>
    <w:p>
      <w:pPr>
        <w:pStyle w:val="BodyText"/>
      </w:pPr>
      <w:r>
        <w:rPr>
          <w:bCs/>
          <w:b/>
        </w:rPr>
        <w:t xml:space="preserve">Remember:</w:t>
      </w:r>
      <w:r>
        <w:t xml:space="preserve"> </w:t>
      </w:r>
      <w:r>
        <w:t xml:space="preserve">you test durability by testing the period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fix, not the moment of it.</w:t>
      </w:r>
    </w:p>
    <w:bookmarkStart w:id="42" w:name="the-question-to-bring-2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Is your leaver population from HR or from SAP? Show me the gap in days between termination and lock.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42"/>
    <w:bookmarkEnd w:id="43"/>
    <w:bookmarkEnd w:id="44"/>
    <w:bookmarkStart w:id="47" w:name="session-4-sun-book-7-the-fourth-chair"/>
    <w:p>
      <w:pPr>
        <w:pStyle w:val="Heading2"/>
      </w:pPr>
      <w:r>
        <w:t xml:space="preserve">Session 4 — Sun · Book 7 — The Fourth Chair</w:t>
      </w:r>
    </w:p>
    <w:bookmarkStart w:id="46" w:name="book-7-the-fourth-chair"/>
    <w:p>
      <w:pPr>
        <w:pStyle w:val="Heading3"/>
      </w:pPr>
      <w:r>
        <w:t xml:space="preserve">Book 7 — The Fourth Chair</w:t>
      </w:r>
    </w:p>
    <w:p>
      <w:pPr>
        <w:pStyle w:val="FirstParagraph"/>
      </w:pPr>
      <w:r>
        <w:rPr>
          <w:iCs/>
          <w:i/>
        </w:rPr>
        <w:t xml:space="preserve">Part I · SoD Testing Outside Finance (Procurement)</w:t>
      </w:r>
    </w:p>
    <w:p>
      <w:pPr>
        <w:pStyle w:val="BodyText"/>
      </w:pPr>
      <w:r>
        <w:rPr>
          <w:bCs/>
          <w:b/>
        </w:rPr>
        <w:t xml:space="preserve">Access · searching for a new conflict</w:t>
      </w:r>
    </w:p>
    <w:p>
      <w:pPr>
        <w:pStyle w:val="BodyText"/>
      </w:pPr>
      <w:r>
        <w:t xml:space="preserve">Priya moves to another engagement. Jamal — newer than she was — is handed Procurement and asked to find a conflict nobody has already identified.</w:t>
      </w:r>
    </w:p>
    <w:p>
      <w:pPr>
        <w:pStyle w:val="BodyText"/>
      </w:pPr>
      <w:r>
        <w:t xml:space="preserve">That’s a different task from everything in Book 1. In Book 1 you confirm a conflict the system flagged. Here, there’s no flag. There’s a process, a system, and a suspicion.</w:t>
      </w:r>
    </w:p>
    <w:p>
      <w:pPr>
        <w:pStyle w:val="BodyText"/>
      </w:pPr>
      <w:r>
        <w:rPr>
          <w:bCs/>
          <w:b/>
        </w:rPr>
        <w:t xml:space="preserve">What’s different:</w:t>
      </w:r>
      <w:r>
        <w:t xml:space="preserve"> </w:t>
      </w:r>
      <w:r>
        <w:t xml:space="preserve">you’re</w:t>
      </w:r>
      <w:r>
        <w:t xml:space="preserve"> </w:t>
      </w:r>
      <w:r>
        <w:rPr>
          <w:bCs/>
          <w:b/>
        </w:rPr>
        <w:t xml:space="preserve">searching</w:t>
      </w:r>
      <w:r>
        <w:t xml:space="preserve">, not confirming. Which means you have to be able to defend why you looked where you looked, and why you didn’t look elsewhere.</w:t>
      </w:r>
    </w:p>
    <w:p>
      <w:pPr>
        <w:pStyle w:val="BodyText"/>
      </w:pPr>
      <w:r>
        <w:rPr>
          <w:bCs/>
          <w:b/>
        </w:rPr>
        <w:t xml:space="preserve">Remember:</w:t>
      </w:r>
      <w:r>
        <w:t xml:space="preserve"> </w:t>
      </w:r>
      <w:r>
        <w:t xml:space="preserve">an unstructured search produces an undefendable workpaper. Structure the search before you run it.</w:t>
      </w:r>
    </w:p>
    <w:bookmarkStart w:id="45" w:name="the-question-to-bring-3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Was the flagged access ever used? Show me the backend authorization object behind the tile, not the tile.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45"/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</w:pPr>
    <w:rPr>
      <w:rFonts w:ascii="Calibri" w:cs="Calibri" w:hAnsi="Calibri"/>
      <w:color w:val="1F2933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  <w:pBdr>
        <w:bottom w:color="C87F16" w:space="6" w:sz="18" w:val="single"/>
      </w:pBdr>
    </w:pPr>
    <w:rPr>
      <w:rFonts w:ascii="Cambria" w:hAnsi="Cambria"/>
      <w:b/>
      <w:color w:val="12203A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360"/>
      <w:pBdr>
        <w:bottom w:color="D6DEEA" w:space="5" w:sz="8" w:val="single"/>
      </w:pBdr>
      <w:outlineLvl w:val="0"/>
    </w:pPr>
    <w:rPr>
      <w:rFonts w:ascii="Cambria" w:hAnsi="Cambria"/>
      <w:b/>
      <w:color w:val="1B3358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280"/>
      <w:outlineLvl w:val="1"/>
    </w:pPr>
    <w:rPr>
      <w:rFonts w:ascii="Cambria" w:hAnsi="Cambria"/>
      <w:b/>
      <w:color w:val="1B3358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40"/>
      <w:outlineLvl w:val="2"/>
    </w:pPr>
    <w:rPr>
      <w:rFonts w:ascii="Calibri" w:hAnsi="Calibri"/>
      <w:b/>
      <w:color w:val="C87F16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pPr>
      <w:pBdr>
        <w:left w:color="C87F16" w:space="10" w:sz="18" w:val="single"/>
      </w:pBdr>
      <w:ind w:left="288"/>
      <w:spacing w:after="140" w:before="140"/>
    </w:pPr>
    <w:rPr>
      <w:i/>
      <w:color w:val="5A6B8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 w:line="240" w:lineRule="auto"/>
    </w:pPr>
    <w:rPr>
      <w:rFonts w:ascii="Calibri" w:hAnsi="Calibri"/>
      <w:sz w:val="19"/>
      <w:szCs w:val="19"/>
    </w:rPr>
    <w:tblPr>
      <w:tblBorders>
        <w:top w:color="D6DEEA" w:space="0" w:sz="4" w:val="single"/>
        <w:left w:color="auto" w:space="0" w:sz="0" w:val="none"/>
        <w:bottom w:color="D6DEEA" w:space="0" w:sz="4" w:val="single"/>
        <w:right w:color="auto" w:space="0" w:sz="0" w:val="none"/>
        <w:insideH w:color="D6DEEA" w:space="0" w:sz="4" w:val="single"/>
        <w:insideV w:color="auto" w:space="0" w:sz="0" w:val="non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60" w:before="60"/>
      </w:pPr>
      <w:rPr>
        <w:rFonts w:ascii="Calibri" w:hAnsi="Calibri"/>
        <w:b/>
        <w:color w:val="FFFFFF"/>
        <w:sz w:val="19"/>
      </w:rPr>
      <w:tcPr>
        <w:shd w:color="auto" w:fill="1B3358" w:val="clear"/>
        <w:tcBorders>
          <w:bottom w:color="1B3358" w:space="0" w:sz="4" w:val="single"/>
        </w:tcBorders>
      </w:tcPr>
    </w:tblStylePr>
    <w:tblStylePr w:type="band2Horz">
      <w:tcPr>
        <w:shd w:color="auto" w:fill="F5F8FC" w:val="clear"/>
      </w:tcPr>
    </w:tblStylePr>
    <w:tblStylePr w:type="firstCol">
      <w:rPr>
        <w:b/>
        <w:color w:val="1B3358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2026-10-22T13:13:33Z</dcterms:created>
  <dcterms:modified xsi:type="dcterms:W3CDTF">2026-10-22T13:13:33Z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