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reading-pack-intermediate-week-3"/>
    <w:p>
      <w:pPr>
        <w:pStyle w:val="Heading1"/>
      </w:pPr>
      <w:r>
        <w:t xml:space="preserve">Reading Pack — Intermediate Week 3</w:t>
      </w:r>
    </w:p>
    <w:p>
      <w:pPr>
        <w:pStyle w:val="FirstParagraph"/>
      </w:pPr>
      <w:r>
        <w:rPr>
          <w:iCs/>
          <w:i/>
        </w:rPr>
        <w:t xml:space="preserve">Intermediate · Sessions 9–12 · The Full Sweep · Thornfield Industrial Group</w:t>
      </w:r>
    </w:p>
    <w:bookmarkStart w:id="20" w:name="before-you-start"/>
    <w:p>
      <w:pPr>
        <w:pStyle w:val="Heading2"/>
      </w:pPr>
      <w:r>
        <w:t xml:space="preserve">Before you start</w:t>
      </w:r>
    </w:p>
    <w:p>
      <w:pPr>
        <w:pStyle w:val="FirstParagraph"/>
      </w:pPr>
      <w:r>
        <w:t xml:space="preserve">Week 3 moves from IT general controls to the controls inside the business process: interfaces, GRC rules and the first Record-to-Report Book. Workpaper 1 is due and Workpaper 2 is assigned.</w:t>
      </w:r>
    </w:p>
    <w:p>
      <w:pPr>
        <w:pStyle w:val="BodyText"/>
      </w:pPr>
      <w:r>
        <w:t xml:space="preserve">Read each session’s section</w:t>
      </w:r>
      <w:r>
        <w:t xml:space="preserve"> </w:t>
      </w:r>
      <w:r>
        <w:rPr>
          <w:bCs/>
          <w:b/>
        </w:rPr>
        <w:t xml:space="preserve">before</w:t>
      </w:r>
      <w:r>
        <w:t xml:space="preserve"> </w:t>
      </w:r>
      <w:r>
        <w:t xml:space="preserve">that session — about 45–60 minutes per session. The course app has the exact screens; this pack has the reasoning the app has no field for: the control objective, the population, what a reviewer will ask, and what to conclude. In the app, open the menu on</w:t>
      </w:r>
      <w:r>
        <w:t xml:space="preserve"> </w:t>
      </w:r>
      <w:r>
        <w:rPr>
          <w:bCs/>
          <w:b/>
        </w:rPr>
        <w:t xml:space="preserve">By session</w:t>
      </w:r>
      <w:r>
        <w:t xml:space="preserve"> </w:t>
      </w:r>
      <w:r>
        <w:t xml:space="preserve">— the rows match the sessions in this pack, and</w:t>
      </w:r>
      <w:r>
        <w:t xml:space="preserve"> </w:t>
      </w:r>
      <w:r>
        <w:rPr>
          <w:bCs/>
          <w:b/>
        </w:rPr>
        <w:t xml:space="preserve">▶ Next</w:t>
      </w:r>
      <w:r>
        <w:t xml:space="preserve"> </w:t>
      </w:r>
      <w:r>
        <w:t xml:space="preserve">takes you through them in the same order.</w:t>
      </w:r>
    </w:p>
    <w:p>
      <w:pPr>
        <w:pStyle w:val="BodyText"/>
      </w:pPr>
      <w:r>
        <w:rPr>
          <w:bCs/>
          <w:b/>
        </w:rPr>
        <w:t xml:space="preserve">Studying on your own?</w:t>
      </w:r>
      <w:r>
        <w:t xml:space="preserve"> </w:t>
      </w:r>
      <w:r>
        <w:t xml:space="preserve">Treat each session below as one sitting of about two hours: read the section, do the Book in SAP with the app beside you, upload your exhibit, then answer the question to bring — out loud or in writing — before moving on.</w:t>
      </w:r>
    </w:p>
    <w:bookmarkEnd w:id="20"/>
    <w:bookmarkStart w:id="31" w:name="session-9-tue-book-19-the-interface-gap"/>
    <w:p>
      <w:pPr>
        <w:pStyle w:val="Heading2"/>
      </w:pPr>
      <w:r>
        <w:t xml:space="preserve">Session 9 — Tue · Book 19 — The Interface Gap</w:t>
      </w:r>
    </w:p>
    <w:p>
      <w:pPr>
        <w:pStyle w:val="FirstParagraph"/>
      </w:pPr>
      <w:r>
        <w:rPr>
          <w:bCs/>
          <w:b/>
        </w:rPr>
        <w:t xml:space="preserve">Workpaper 1 is due before this session</w:t>
      </w:r>
      <w:r>
        <w:t xml:space="preserve"> </w:t>
      </w:r>
      <w:r>
        <w:t xml:space="preserve">and comes back marked.</w:t>
      </w:r>
      <w:r>
        <w:t xml:space="preserve"> </w:t>
      </w:r>
      <w:r>
        <w:rPr>
          <w:bCs/>
          <w:b/>
        </w:rPr>
        <w:t xml:space="preserve">Workpaper 2 (Change &amp; Operations) is assigned</w:t>
      </w:r>
      <w:r>
        <w:t xml:space="preserve"> </w:t>
      </w:r>
      <w:r>
        <w:t xml:space="preserve">— due before session 13.</w:t>
      </w:r>
    </w:p>
    <w:bookmarkStart w:id="30" w:name="book-19-the-interface-gap"/>
    <w:p>
      <w:pPr>
        <w:pStyle w:val="Heading3"/>
      </w:pPr>
      <w:r>
        <w:t xml:space="preserve">Book 19 — The Interface Gap</w:t>
      </w:r>
    </w:p>
    <w:p>
      <w:pPr>
        <w:pStyle w:val="FirstParagraph"/>
      </w:pPr>
      <w:r>
        <w:rPr>
          <w:iCs/>
          <w:i/>
        </w:rPr>
        <w:t xml:space="preserve">Part II · Interface Control Testing</w:t>
      </w:r>
    </w:p>
    <w:p>
      <w:pPr>
        <w:pStyle w:val="BodyText"/>
      </w:pPr>
      <w:r>
        <w:rPr>
          <w:bCs/>
          <w:b/>
        </w:rPr>
        <w:t xml:space="preserve">Interfaces and data conversion</w:t>
      </w:r>
      <w:r>
        <w:t xml:space="preserve"> </w:t>
      </w:r>
      <w:r>
        <w:rPr>
          <w:iCs/>
          <w:i/>
        </w:rPr>
        <w:t xml:space="preserve">(anchor — covered at depth on the session)</w:t>
      </w:r>
    </w:p>
    <w:p>
      <w:pPr>
        <w:pStyle w:val="BodyText"/>
      </w:pPr>
      <w:r>
        <w:rPr>
          <w:bCs/>
          <w:b/>
        </w:rPr>
        <w:t xml:space="preserve">Fourteen units exist in the warehouse system and nowhere in SAP at all.</w:t>
      </w:r>
    </w:p>
    <w:p>
      <w:pPr>
        <w:pStyle w:val="BodyText"/>
      </w:pPr>
      <w:r>
        <w:t xml:space="preserve">Almost no company runs everything in SAP. There’s a warehouse system, a payroll bureau, a bank, a treasury platform. Data flows between them constantly, automatically, at night, through mechanisms nobody in finance has ever looked at.</w:t>
      </w:r>
    </w:p>
    <w:p>
      <w:pPr>
        <w:pStyle w:val="BodyText"/>
      </w:pPr>
      <w:r>
        <w:t xml:space="preserve">When a message fails in transit, the sending system thinks it sent, the receiving system never knew to expect it, and</w:t>
      </w:r>
      <w:r>
        <w:t xml:space="preserve"> </w:t>
      </w:r>
      <w:r>
        <w:rPr>
          <w:bCs/>
          <w:b/>
        </w:rPr>
        <w:t xml:space="preserve">the number is simply wrong — with no error on anyone’s screen.</w:t>
      </w:r>
    </w:p>
    <w:p>
      <w:pPr>
        <w:pStyle w:val="BodyText"/>
      </w:pPr>
      <w:r>
        <w:rPr>
          <w:bCs/>
          <w:b/>
        </w:rPr>
        <w:t xml:space="preserve">What’s different:</w:t>
      </w:r>
      <w:r>
        <w:t xml:space="preserve"> </w:t>
      </w:r>
      <w:r>
        <w:t xml:space="preserve">a message that never arrived in SAP does not appear in SAP. It has no document number. There’s no screen that lists it.</w:t>
      </w:r>
    </w:p>
    <w:p>
      <w:pPr>
        <w:pStyle w:val="BodyText"/>
      </w:pPr>
      <w:r>
        <w:rPr>
          <w:bCs/>
          <w:b/>
        </w:rPr>
        <w:t xml:space="preserve">Remember:</w:t>
      </w:r>
      <w:r>
        <w:t xml:space="preserve"> </w:t>
      </w:r>
      <w:r>
        <w:t xml:space="preserve">the population comes from the</w:t>
      </w:r>
      <w:r>
        <w:t xml:space="preserve"> </w:t>
      </w:r>
      <w:r>
        <w:rPr>
          <w:bCs/>
          <w:b/>
        </w:rPr>
        <w:t xml:space="preserve">source system’s transmitted count</w:t>
      </w:r>
      <w:r>
        <w:t xml:space="preserve">. SAP is the other side of the reconciliation.</w:t>
      </w:r>
    </w:p>
    <w:bookmarkStart w:id="21" w:name="before-the-demo-lab"/>
    <w:p>
      <w:pPr>
        <w:pStyle w:val="Heading4"/>
      </w:pPr>
      <w:r>
        <w:t xml:space="preserve">Before the Demo Lab</w:t>
      </w:r>
    </w:p>
    <w:p>
      <w:pPr>
        <w:pStyle w:val="FirstParagraph"/>
      </w:pPr>
      <w:r>
        <w:rPr>
          <w:bCs/>
          <w:b/>
        </w:rPr>
        <w:t xml:space="preserve">The question:</w:t>
      </w:r>
      <w:r>
        <w:t xml:space="preserve"> </w:t>
      </w:r>
      <w:r>
        <w:t xml:space="preserve">did everything the other system sent actually arrive?</w:t>
      </w:r>
    </w:p>
    <w:bookmarkEnd w:id="21"/>
    <w:bookmarkStart w:id="22" w:name="the-screens"/>
    <w:p>
      <w:pPr>
        <w:pStyle w:val="Heading4"/>
      </w:pPr>
      <w:r>
        <w:t xml:space="preserve">The screens</w:t>
      </w:r>
    </w:p>
    <w:tbl>
      <w:tblPr>
        <w:tblStyle w:val="Table"/>
        <w:tblW w:type="pct" w:w="4899"/>
        <w:tblLook w:firstRow="1" w:lastRow="0" w:firstColumn="0" w:lastColumn="0" w:noHBand="0" w:noVBand="0" w:val="0020"/>
        <w:jc w:val="start"/>
      </w:tblPr>
      <w:tblGrid>
        <w:gridCol w:w="1920"/>
        <w:gridCol w:w="5840"/>
      </w:tblGrid>
      <w:tr>
        <w:trPr>
          <w:tblHeader w:val="true"/>
        </w:trPr>
        <w:tc>
          <w:tcPr/>
          <w:p>
            <w:pPr>
              <w:pStyle w:val="Compact"/>
              <w:jc w:val="left"/>
            </w:pPr>
            <w:r>
              <w:rPr>
                <w:bCs/>
                <w:b/>
                <w:color w:val="FFFFFF"/>
              </w:rPr>
              <w:t xml:space="preserve">Screen</w:t>
            </w:r>
          </w:p>
        </w:tc>
        <w:tc>
          <w:tcPr/>
          <w:p>
            <w:pPr>
              <w:pStyle w:val="Compact"/>
              <w:jc w:val="left"/>
            </w:pPr>
            <w:r>
              <w:rPr>
                <w:bCs/>
                <w:b/>
                <w:color w:val="FFFFFF"/>
              </w:rPr>
              <w:t xml:space="preserve">What it’s for</w:t>
            </w:r>
          </w:p>
        </w:tc>
      </w:tr>
      <w:tr>
        <w:tc>
          <w:tcPr/>
          <w:p>
            <w:pPr>
              <w:pStyle w:val="Compact"/>
              <w:jc w:val="left"/>
            </w:pPr>
            <w:r>
              <w:rPr>
                <w:rStyle w:val="VerbatimChar"/>
              </w:rPr>
              <w:t xml:space="preserve">SM58</w:t>
            </w:r>
          </w:p>
        </w:tc>
        <w:tc>
          <w:tcPr/>
          <w:p>
            <w:pPr>
              <w:pStyle w:val="Compact"/>
              <w:jc w:val="left"/>
            </w:pPr>
            <w:r>
              <w:t xml:space="preserve">Transactional RFC monitor — calls that came in and didn’t complete</w:t>
            </w:r>
          </w:p>
        </w:tc>
      </w:tr>
      <w:tr>
        <w:tc>
          <w:tcPr/>
          <w:p>
            <w:pPr>
              <w:pStyle w:val="Compact"/>
              <w:jc w:val="left"/>
            </w:pPr>
            <w:r>
              <w:rPr>
                <w:rStyle w:val="VerbatimChar"/>
              </w:rPr>
              <w:t xml:space="preserve">SMQ1</w:t>
            </w:r>
            <w:r>
              <w:t xml:space="preserve"> </w:t>
            </w:r>
            <w:r>
              <w:t xml:space="preserve">/</w:t>
            </w:r>
            <w:r>
              <w:t xml:space="preserve"> </w:t>
            </w:r>
            <w:r>
              <w:rPr>
                <w:rStyle w:val="VerbatimChar"/>
              </w:rPr>
              <w:t xml:space="preserve">SMQ2</w:t>
            </w:r>
          </w:p>
        </w:tc>
        <w:tc>
          <w:tcPr/>
          <w:p>
            <w:pPr>
              <w:pStyle w:val="Compact"/>
              <w:jc w:val="left"/>
            </w:pPr>
            <w:r>
              <w:t xml:space="preserve">Outbound and inbound qRFC queues</w:t>
            </w:r>
          </w:p>
        </w:tc>
      </w:tr>
      <w:tr>
        <w:tc>
          <w:tcPr/>
          <w:p>
            <w:pPr>
              <w:pStyle w:val="Compact"/>
              <w:jc w:val="left"/>
            </w:pPr>
            <w:r>
              <w:rPr>
                <w:rStyle w:val="VerbatimChar"/>
              </w:rPr>
              <w:t xml:space="preserve">WE02</w:t>
            </w:r>
            <w:r>
              <w:t xml:space="preserve"> </w:t>
            </w:r>
            <w:r>
              <w:t xml:space="preserve">/</w:t>
            </w:r>
            <w:r>
              <w:t xml:space="preserve"> </w:t>
            </w:r>
            <w:r>
              <w:rPr>
                <w:rStyle w:val="VerbatimChar"/>
              </w:rPr>
              <w:t xml:space="preserve">WE05</w:t>
            </w:r>
          </w:p>
        </w:tc>
        <w:tc>
          <w:tcPr/>
          <w:p>
            <w:pPr>
              <w:pStyle w:val="Compact"/>
              <w:jc w:val="left"/>
            </w:pPr>
            <w:r>
              <w:t xml:space="preserve">IDoc list and overview — filter by</w:t>
            </w:r>
            <w:r>
              <w:t xml:space="preserve"> </w:t>
            </w:r>
            <w:r>
              <w:rPr>
                <w:bCs/>
                <w:b/>
              </w:rPr>
              <w:t xml:space="preserve">status</w:t>
            </w:r>
          </w:p>
        </w:tc>
      </w:tr>
      <w:tr>
        <w:tc>
          <w:tcPr/>
          <w:p>
            <w:pPr>
              <w:pStyle w:val="Compact"/>
              <w:jc w:val="left"/>
            </w:pPr>
            <w:r>
              <w:rPr>
                <w:rStyle w:val="VerbatimChar"/>
              </w:rPr>
              <w:t xml:space="preserve">SM59</w:t>
            </w:r>
          </w:p>
        </w:tc>
        <w:tc>
          <w:tcPr/>
          <w:p>
            <w:pPr>
              <w:pStyle w:val="Compact"/>
              <w:jc w:val="left"/>
            </w:pPr>
            <w:r>
              <w:t xml:space="preserve">RFC destinations — every system that connects into this SAP instance</w:t>
            </w:r>
          </w:p>
        </w:tc>
      </w:tr>
      <w:tr>
        <w:tc>
          <w:tcPr/>
          <w:p>
            <w:pPr>
              <w:pStyle w:val="Compact"/>
              <w:jc w:val="left"/>
            </w:pPr>
            <w:r>
              <w:rPr>
                <w:rStyle w:val="VerbatimChar"/>
              </w:rPr>
              <w:t xml:space="preserve">BD87</w:t>
            </w:r>
          </w:p>
        </w:tc>
        <w:tc>
          <w:tcPr/>
          <w:p>
            <w:pPr>
              <w:pStyle w:val="Compact"/>
              <w:jc w:val="left"/>
            </w:pPr>
            <w:r>
              <w:t xml:space="preserve">IDoc reprocessing.</w:t>
            </w:r>
            <w:r>
              <w:t xml:space="preserve"> </w:t>
            </w:r>
            <w:r>
              <w:rPr>
                <w:bCs/>
                <w:b/>
              </w:rPr>
              <w:t xml:space="preserve">Look. Do not touch.</w:t>
            </w:r>
          </w:p>
        </w:tc>
      </w:tr>
    </w:tbl>
    <w:bookmarkEnd w:id="22"/>
    <w:bookmarkStart w:id="23" w:name="X80c1182ccfccb186e5167d1e9ddf5c5afb8a076"/>
    <w:p>
      <w:pPr>
        <w:pStyle w:val="Heading4"/>
      </w:pPr>
      <w:r>
        <w:rPr>
          <w:rStyle w:val="VerbatimChar"/>
        </w:rPr>
        <w:t xml:space="preserve">SM58</w:t>
      </w:r>
      <w:r>
        <w:t xml:space="preserve"> </w:t>
      </w:r>
      <w:r>
        <w:t xml:space="preserve">— two counts, and one of them is the finding</w:t>
      </w:r>
    </w:p>
    <w:p>
      <w:pPr>
        <w:pStyle w:val="FirstParagraph"/>
      </w:pPr>
      <w:r>
        <w:t xml:space="preserve">Set a date range. You get status text, the caller, the function module, and the date.</w:t>
      </w:r>
    </w:p>
    <w:p>
      <w:pPr>
        <w:pStyle w:val="BodyText"/>
      </w:pPr>
      <w:r>
        <w:rPr>
          <w:bCs/>
          <w:b/>
        </w:rPr>
        <w:t xml:space="preserve">Two things to read, and they’re both counts.</w:t>
      </w:r>
    </w:p>
    <w:p>
      <w:pPr>
        <w:pStyle w:val="BodyText"/>
      </w:pPr>
      <w:r>
        <w:t xml:space="preserve">How many are sitting in error. And — sort by date —</w:t>
      </w:r>
      <w:r>
        <w:t xml:space="preserve"> </w:t>
      </w:r>
      <w:r>
        <w:rPr>
          <w:bCs/>
          <w:b/>
        </w:rPr>
        <w:t xml:space="preserve">how old is the oldest</w:t>
      </w:r>
      <w:r>
        <w:t xml:space="preserve">.</w:t>
      </w:r>
    </w:p>
    <w:p>
      <w:pPr>
        <w:pStyle w:val="BodyText"/>
      </w:pPr>
      <w:r>
        <w:rPr>
          <w:bCs/>
          <w:b/>
        </w:rPr>
        <w:t xml:space="preserve">Age is the finding.</w:t>
      </w:r>
    </w:p>
    <w:p>
      <w:pPr>
        <w:pStyle w:val="BodyText"/>
      </w:pPr>
      <w:r>
        <w:t xml:space="preserve">Nobody ever designed a control that says</w:t>
      </w:r>
      <w:r>
        <w:t xml:space="preserve"> </w:t>
      </w:r>
      <w:r>
        <w:t xml:space="preserve">“</w:t>
      </w:r>
      <w:r>
        <w:t xml:space="preserve">leave failed messages in a queue for eight months.</w:t>
      </w:r>
      <w:r>
        <w:t xml:space="preserve">”</w:t>
      </w:r>
      <w:r>
        <w:t xml:space="preserve"> </w:t>
      </w:r>
      <w:r>
        <w:t xml:space="preserve">It just happens, because the queue belongs to nobody in particular.</w:t>
      </w:r>
    </w:p>
    <w:p>
      <w:pPr>
        <w:pStyle w:val="BodyText"/>
      </w:pPr>
      <w:r>
        <w:t xml:space="preserve">Aged items in an error queue are one of the most reliable findings in this discipline. And they’re almost never in anyone’s control matrix.</w:t>
      </w:r>
    </w:p>
    <w:bookmarkEnd w:id="23"/>
    <w:bookmarkStart w:id="24" w:name="we02-status-is-everything"/>
    <w:p>
      <w:pPr>
        <w:pStyle w:val="Heading4"/>
      </w:pPr>
      <w:r>
        <w:rPr>
          <w:rStyle w:val="VerbatimChar"/>
        </w:rPr>
        <w:t xml:space="preserve">WE02</w:t>
      </w:r>
      <w:r>
        <w:t xml:space="preserve"> </w:t>
      </w:r>
      <w:r>
        <w:t xml:space="preserve">— status is everything</w:t>
      </w:r>
    </w:p>
    <w:p>
      <w:pPr>
        <w:pStyle w:val="FirstParagraph"/>
      </w:pPr>
      <w:r>
        <w:t xml:space="preserve">For IDoc-based interfaces, which are still very common.</w:t>
      </w:r>
    </w:p>
    <w:tbl>
      <w:tblPr>
        <w:tblStyle w:val="Table"/>
        <w:tblW w:type="pct" w:w="4873"/>
        <w:tblLook w:firstRow="1" w:lastRow="0" w:firstColumn="0" w:lastColumn="0" w:noHBand="0" w:noVBand="0" w:val="0020"/>
        <w:jc w:val="start"/>
      </w:tblPr>
      <w:tblGrid>
        <w:gridCol w:w="3308"/>
        <w:gridCol w:w="4411"/>
      </w:tblGrid>
      <w:tr>
        <w:trPr>
          <w:tblHeader w:val="true"/>
        </w:trPr>
        <w:tc>
          <w:tcPr/>
          <w:p>
            <w:pPr>
              <w:pStyle w:val="Compact"/>
              <w:jc w:val="left"/>
            </w:pPr>
            <w:r>
              <w:rPr>
                <w:bCs/>
                <w:b/>
                <w:color w:val="FFFFFF"/>
              </w:rPr>
              <w:t xml:space="preserve">Status</w:t>
            </w:r>
          </w:p>
        </w:tc>
        <w:tc>
          <w:tcPr/>
          <w:p>
            <w:pPr>
              <w:pStyle w:val="Compact"/>
              <w:jc w:val="left"/>
            </w:pPr>
            <w:r>
              <w:rPr>
                <w:bCs/>
                <w:b/>
                <w:color w:val="FFFFFF"/>
              </w:rPr>
              <w:t xml:space="preserve">Meaning</w:t>
            </w:r>
          </w:p>
        </w:tc>
      </w:tr>
      <w:tr>
        <w:tc>
          <w:tcPr/>
          <w:p>
            <w:pPr>
              <w:pStyle w:val="Compact"/>
              <w:jc w:val="left"/>
            </w:pPr>
            <w:r>
              <w:rPr>
                <w:bCs/>
                <w:b/>
              </w:rPr>
              <w:t xml:space="preserve">51</w:t>
            </w:r>
          </w:p>
        </w:tc>
        <w:tc>
          <w:tcPr/>
          <w:p>
            <w:pPr>
              <w:pStyle w:val="Compact"/>
              <w:jc w:val="left"/>
            </w:pPr>
            <w:r>
              <w:t xml:space="preserve">Application error</w:t>
            </w:r>
          </w:p>
        </w:tc>
      </w:tr>
      <w:tr>
        <w:tc>
          <w:tcPr/>
          <w:p>
            <w:pPr>
              <w:pStyle w:val="Compact"/>
              <w:jc w:val="left"/>
            </w:pPr>
            <w:r>
              <w:rPr>
                <w:bCs/>
                <w:b/>
              </w:rPr>
              <w:t xml:space="preserve">64</w:t>
            </w:r>
          </w:p>
        </w:tc>
        <w:tc>
          <w:tcPr/>
          <w:p>
            <w:pPr>
              <w:pStyle w:val="Compact"/>
              <w:jc w:val="left"/>
            </w:pPr>
            <w:r>
              <w:t xml:space="preserve">Ready to be processed — and hasn’t been</w:t>
            </w:r>
          </w:p>
        </w:tc>
      </w:tr>
      <w:tr>
        <w:tc>
          <w:tcPr/>
          <w:p>
            <w:pPr>
              <w:pStyle w:val="Compact"/>
              <w:jc w:val="left"/>
            </w:pPr>
            <w:r>
              <w:rPr>
                <w:bCs/>
                <w:b/>
              </w:rPr>
              <w:t xml:space="preserve">53</w:t>
            </w:r>
          </w:p>
        </w:tc>
        <w:tc>
          <w:tcPr/>
          <w:p>
            <w:pPr>
              <w:pStyle w:val="Compact"/>
              <w:jc w:val="left"/>
            </w:pPr>
            <w:r>
              <w:t xml:space="preserve">Posted successfully</w:t>
            </w:r>
          </w:p>
        </w:tc>
      </w:tr>
    </w:tbl>
    <w:p>
      <w:pPr>
        <w:pStyle w:val="BodyText"/>
      </w:pPr>
      <w:r>
        <w:t xml:space="preserve">Filter by error status and you have your error population.</w:t>
      </w:r>
    </w:p>
    <w:bookmarkEnd w:id="24"/>
    <w:bookmarkStart w:id="25" w:name="the-hard-part-and-its-counter-intuitive"/>
    <w:p>
      <w:pPr>
        <w:pStyle w:val="Heading4"/>
      </w:pPr>
      <w:r>
        <w:t xml:space="preserve">The hard part, and it’s counter-intuitive</w:t>
      </w:r>
    </w:p>
    <w:p>
      <w:pPr>
        <w:pStyle w:val="FirstParagraph"/>
      </w:pPr>
      <w:r>
        <w:t xml:space="preserve">Everything above tells you about messages that</w:t>
      </w:r>
      <w:r>
        <w:t xml:space="preserve"> </w:t>
      </w:r>
      <w:r>
        <w:rPr>
          <w:bCs/>
          <w:b/>
        </w:rPr>
        <w:t xml:space="preserve">arrived in SAP and then failed</w:t>
      </w:r>
      <w:r>
        <w:t xml:space="preserve">.</w:t>
      </w:r>
    </w:p>
    <w:p>
      <w:pPr>
        <w:pStyle w:val="BodyText"/>
      </w:pPr>
      <w:r>
        <w:t xml:space="preserve">The warehouse system reported 41,206 movements. SAP shows 41,192.</w:t>
      </w:r>
      <w:r>
        <w:t xml:space="preserve"> </w:t>
      </w:r>
      <w:r>
        <w:rPr>
          <w:bCs/>
          <w:b/>
        </w:rPr>
        <w:t xml:space="preserve">Where are the fourteen?</w:t>
      </w:r>
    </w:p>
    <w:p>
      <w:pPr>
        <w:pStyle w:val="BodyText"/>
      </w:pPr>
      <w:r>
        <w:t xml:space="preserve">Some may be here, in error status.</w:t>
      </w:r>
    </w:p>
    <w:p>
      <w:pPr>
        <w:pStyle w:val="BodyText"/>
      </w:pPr>
      <w:r>
        <w:rPr>
          <w:bCs/>
          <w:b/>
        </w:rPr>
        <w:t xml:space="preserve">And some may not be here at all.</w:t>
      </w:r>
      <w:r>
        <w:t xml:space="preserve"> </w:t>
      </w:r>
      <w:r>
        <w:t xml:space="preserve">A message that was never transmitted, or was rejected at the gateway, or died in the middle of the night in the sending system,</w:t>
      </w:r>
      <w:r>
        <w:t xml:space="preserve"> </w:t>
      </w:r>
      <w:r>
        <w:rPr>
          <w:bCs/>
          <w:b/>
        </w:rPr>
        <w:t xml:space="preserve">never becomes an SAP object</w:t>
      </w:r>
      <w:r>
        <w:t xml:space="preserve">.</w:t>
      </w:r>
    </w:p>
    <w:p>
      <w:pPr>
        <w:pStyle w:val="BodyText"/>
      </w:pPr>
      <w:r>
        <w:t xml:space="preserve">It has no IDoc number. It has no queue entry. There is no screen in SAP that lists it — from SAP’s point of view it doesn’t exist, and never did.</w:t>
      </w:r>
    </w:p>
    <w:p>
      <w:pPr>
        <w:pStyle w:val="BodyText"/>
      </w:pPr>
      <w:r>
        <w:rPr>
          <w:bCs/>
          <w:b/>
        </w:rPr>
        <w:t xml:space="preserve">Which is why the population is the source system’s transmitted count, and SAP is the other side of the reconciliation.</w:t>
      </w:r>
    </w:p>
    <w:p>
      <w:pPr>
        <w:pStyle w:val="BodyText"/>
      </w:pPr>
      <w:r>
        <w:t xml:space="preserve">Fifth costume of the same error this fortnight. Reviews instead of sessions. IT instead of HR. Tickets instead of transports. Validity instead of logon.</w:t>
      </w:r>
      <w:r>
        <w:t xml:space="preserve"> </w:t>
      </w:r>
      <w:r>
        <w:rPr>
          <w:bCs/>
          <w:b/>
        </w:rPr>
        <w:t xml:space="preserve">And now SAP instead of the source system.</w:t>
      </w:r>
    </w:p>
    <w:bookmarkEnd w:id="25"/>
    <w:bookmarkStart w:id="26" w:name="bd87-the-one-screen-you-open-and-close"/>
    <w:p>
      <w:pPr>
        <w:pStyle w:val="Heading4"/>
      </w:pPr>
      <w:r>
        <w:rPr>
          <w:rStyle w:val="VerbatimChar"/>
        </w:rPr>
        <w:t xml:space="preserve">BD87</w:t>
      </w:r>
      <w:r>
        <w:t xml:space="preserve"> </w:t>
      </w:r>
      <w:r>
        <w:t xml:space="preserve">— the one screen you open and close</w:t>
      </w:r>
    </w:p>
    <w:p>
      <w:pPr>
        <w:pStyle w:val="FirstParagraph"/>
      </w:pPr>
      <w:r>
        <w:rPr>
          <w:rStyle w:val="VerbatimChar"/>
        </w:rPr>
        <w:t xml:space="preserve">BD87</w:t>
      </w:r>
      <w:r>
        <w:t xml:space="preserve"> </w:t>
      </w:r>
      <w:r>
        <w:t xml:space="preserve">is the IDoc reprocessing screen.</w:t>
      </w:r>
      <w:r>
        <w:t xml:space="preserve"> </w:t>
      </w:r>
      <w:r>
        <w:rPr>
          <w:bCs/>
          <w:b/>
        </w:rPr>
        <w:t xml:space="preserve">It is a screen that fixes things.</w:t>
      </w:r>
      <w:r>
        <w:t xml:space="preserve"> </w:t>
      </w:r>
      <w:r>
        <w:t xml:space="preserve">It will let you push a failed message through.</w:t>
      </w:r>
    </w:p>
    <w:p>
      <w:pPr>
        <w:pStyle w:val="BodyText"/>
      </w:pPr>
      <w:r>
        <w:t xml:space="preserve">You may look at it.</w:t>
      </w:r>
      <w:r>
        <w:t xml:space="preserve"> </w:t>
      </w:r>
      <w:r>
        <w:rPr>
          <w:bCs/>
          <w:b/>
        </w:rPr>
        <w:t xml:space="preserve">You may not press anything on it.</w:t>
      </w:r>
      <w:r>
        <w:t xml:space="preserve"> </w:t>
      </w:r>
      <w:r>
        <w:t xml:space="preserve">Literally.</w:t>
      </w:r>
    </w:p>
    <w:p>
      <w:pPr>
        <w:pStyle w:val="BodyText"/>
      </w:pPr>
      <w:r>
        <w:t xml:space="preserve">Open it. Understand what it does. Understand that it changes production data. Close it.</w:t>
      </w:r>
    </w:p>
    <w:p>
      <w:pPr>
        <w:pStyle w:val="BodyText"/>
      </w:pPr>
      <w:r>
        <w:rPr>
          <w:bCs/>
          <w:b/>
        </w:rPr>
        <w:t xml:space="preserve">That reflex is worth more to you than the Book.</w:t>
      </w:r>
    </w:p>
    <w:bookmarkEnd w:id="26"/>
    <w:bookmarkStart w:id="27" w:name="X5a0c01a2cadf1f677c72272b8e331e24031accb"/>
    <w:p>
      <w:pPr>
        <w:pStyle w:val="Heading4"/>
      </w:pPr>
      <w:r>
        <w:t xml:space="preserve">Two things to remember about the difference</w:t>
      </w:r>
    </w:p>
    <w:p>
      <w:pPr>
        <w:pStyle w:val="FirstParagraph"/>
      </w:pPr>
      <w:r>
        <w:rPr>
          <w:bCs/>
          <w:b/>
        </w:rPr>
        <w:t xml:space="preserve">Units are not dollars.</w:t>
      </w:r>
      <w:r>
        <w:t xml:space="preserve"> </w:t>
      </w:r>
      <w:r>
        <w:t xml:space="preserve">Fourteen units means nothing until you know what they are. Fourteen washers is nothing. Fourteen precision assemblies at eleven thousand dollars each is a hundred and fifty-four thousand dollars of inventory that doesn’t exist.</w:t>
      </w:r>
    </w:p>
    <w:p>
      <w:pPr>
        <w:pStyle w:val="BodyText"/>
      </w:pPr>
      <w:r>
        <w:t xml:space="preserve">Materiality is assessed on</w:t>
      </w:r>
      <w:r>
        <w:t xml:space="preserve"> </w:t>
      </w:r>
      <w:r>
        <w:rPr>
          <w:bCs/>
          <w:b/>
        </w:rPr>
        <w:t xml:space="preserve">value and nature</w:t>
      </w:r>
      <w:r>
        <w:t xml:space="preserve">. Not on count.</w:t>
      </w:r>
    </w:p>
    <w:p>
      <w:pPr>
        <w:pStyle w:val="BodyText"/>
      </w:pPr>
      <w:r>
        <w:rPr>
          <w:bCs/>
          <w:b/>
        </w:rPr>
        <w:t xml:space="preserve">A percentage tolerance hides direction and pattern.</w:t>
      </w:r>
      <w:r>
        <w:t xml:space="preserve"> </w:t>
      </w:r>
      <w:r>
        <w:t xml:space="preserve">Fourteen random failures scattered across a quarter is an operational nuisance. Fourteen failures all on the same day, or all from the same plant, or all of the same material type, is a systematic failure that happens to be small this quarter.</w:t>
      </w:r>
    </w:p>
    <w:p>
      <w:pPr>
        <w:pStyle w:val="BodyText"/>
      </w:pPr>
      <w:r>
        <w:rPr>
          <w:bCs/>
          <w:b/>
        </w:rPr>
        <w:t xml:space="preserve">You cannot assess a difference you haven’t broken down.</w:t>
      </w:r>
    </w:p>
    <w:bookmarkEnd w:id="27"/>
    <w:bookmarkStart w:id="28" w:name="what-youll-produce-on-the-session"/>
    <w:p>
      <w:pPr>
        <w:pStyle w:val="Heading4"/>
      </w:pPr>
      <w:r>
        <w:t xml:space="preserve">What you’ll produce on the session</w:t>
      </w:r>
    </w:p>
    <w:p>
      <w:pPr>
        <w:numPr>
          <w:ilvl w:val="0"/>
          <w:numId w:val="1001"/>
        </w:numPr>
        <w:pStyle w:val="Compact"/>
      </w:pPr>
      <w:r>
        <w:t xml:space="preserve">The count of items in error status</w:t>
      </w:r>
    </w:p>
    <w:p>
      <w:pPr>
        <w:numPr>
          <w:ilvl w:val="0"/>
          <w:numId w:val="1001"/>
        </w:numPr>
        <w:pStyle w:val="Compact"/>
      </w:pPr>
      <w:r>
        <w:t xml:space="preserve">The</w:t>
      </w:r>
      <w:r>
        <w:t xml:space="preserve"> </w:t>
      </w:r>
      <w:r>
        <w:rPr>
          <w:bCs/>
          <w:b/>
        </w:rPr>
        <w:t xml:space="preserve">age of the oldest</w:t>
      </w:r>
    </w:p>
    <w:p>
      <w:pPr>
        <w:numPr>
          <w:ilvl w:val="0"/>
          <w:numId w:val="1001"/>
        </w:numPr>
        <w:pStyle w:val="Compact"/>
      </w:pPr>
      <w:r>
        <w:t xml:space="preserve">A note on composition — same plant, same material, same day?</w:t>
      </w:r>
    </w:p>
    <w:bookmarkEnd w:id="28"/>
    <w:bookmarkStart w:id="29" w:name="the-question-to-bring"/>
    <w:p>
      <w:pPr>
        <w:pStyle w:val="Heading4"/>
      </w:pPr>
      <w:r>
        <w:t xml:space="preserve">The question to bring</w:t>
      </w:r>
    </w:p>
    <w:p>
      <w:pPr>
        <w:pStyle w:val="BlockText"/>
      </w:pPr>
      <w:r>
        <w:t xml:space="preserve">Has a restore ever actually been tested? For the interface: what is your evidence that failed IDocs were reprocessed, not just visible?</w:t>
      </w:r>
    </w:p>
    <w:p>
      <w:pPr>
        <w:pStyle w:val="FirstParagraph"/>
      </w:pPr>
      <w:r>
        <w:t xml:space="preserve">Decide your answer before the session — in Defend It, someone will ask it.</w:t>
      </w:r>
    </w:p>
    <w:bookmarkEnd w:id="29"/>
    <w:bookmarkEnd w:id="30"/>
    <w:bookmarkEnd w:id="31"/>
    <w:bookmarkStart w:id="44" w:name="Xea0db0085ef2a58930edcb1f3ffa4e5e0105d42"/>
    <w:p>
      <w:pPr>
        <w:pStyle w:val="Heading2"/>
      </w:pPr>
      <w:r>
        <w:t xml:space="preserve">Session 10 — Thu · Book 14 — The Rule That Never Fired</w:t>
      </w:r>
    </w:p>
    <w:bookmarkStart w:id="38" w:name="book-14-the-rule-that-never-fired"/>
    <w:p>
      <w:pPr>
        <w:pStyle w:val="Heading3"/>
      </w:pPr>
      <w:r>
        <w:t xml:space="preserve">Book 14 — The Rule That Never Fired</w:t>
      </w:r>
    </w:p>
    <w:p>
      <w:pPr>
        <w:pStyle w:val="FirstParagraph"/>
      </w:pPr>
      <w:r>
        <w:rPr>
          <w:iCs/>
          <w:i/>
        </w:rPr>
        <w:t xml:space="preserve">Part IV · GRC Process Control (CCM) Testing</w:t>
      </w:r>
    </w:p>
    <w:p>
      <w:pPr>
        <w:pStyle w:val="BodyText"/>
      </w:pPr>
      <w:r>
        <w:rPr>
          <w:bCs/>
          <w:b/>
        </w:rPr>
        <w:t xml:space="preserve">GRC platform · Process Control</w:t>
      </w:r>
      <w:r>
        <w:t xml:space="preserve"> </w:t>
      </w:r>
      <w:r>
        <w:rPr>
          <w:iCs/>
          <w:i/>
        </w:rPr>
        <w:t xml:space="preserve">(anchor — covered at depth on the session)</w:t>
      </w:r>
    </w:p>
    <w:p>
      <w:pPr>
        <w:pStyle w:val="BodyText"/>
      </w:pPr>
      <w:r>
        <w:t xml:space="preserve">You met</w:t>
      </w:r>
      <w:r>
        <w:t xml:space="preserve"> </w:t>
      </w:r>
      <w:r>
        <w:rPr>
          <w:bCs/>
          <w:b/>
        </w:rPr>
        <w:t xml:space="preserve">GRC Access Control</w:t>
      </w:r>
      <w:r>
        <w:t xml:space="preserve"> </w:t>
      </w:r>
      <w:r>
        <w:t xml:space="preserve">in Part I — the module that governs who can do what.</w:t>
      </w:r>
      <w:r>
        <w:t xml:space="preserve"> </w:t>
      </w:r>
      <w:r>
        <w:rPr>
          <w:bCs/>
          <w:b/>
        </w:rPr>
        <w:t xml:space="preserve">GRC Process Control</w:t>
      </w:r>
      <w:r>
        <w:t xml:space="preserve"> </w:t>
      </w:r>
      <w:r>
        <w:t xml:space="preserve">is its sibling, and it does something different: it automates the monitoring of controls themselves.</w:t>
      </w:r>
    </w:p>
    <w:p>
      <w:pPr>
        <w:pStyle w:val="BodyText"/>
      </w:pPr>
      <w:r>
        <w:t xml:space="preserve">You define a</w:t>
      </w:r>
      <w:r>
        <w:t xml:space="preserve"> </w:t>
      </w:r>
      <w:r>
        <w:rPr>
          <w:bCs/>
          <w:b/>
        </w:rPr>
        <w:t xml:space="preserve">business rule</w:t>
      </w:r>
      <w:r>
        <w:t xml:space="preserve"> </w:t>
      </w:r>
      <w:r>
        <w:t xml:space="preserve">— a query with a condition attached.</w:t>
      </w:r>
      <w:r>
        <w:t xml:space="preserve"> </w:t>
      </w:r>
      <w:r>
        <w:rPr>
          <w:iCs/>
          <w:i/>
        </w:rPr>
        <w:t xml:space="preserve">“</w:t>
      </w:r>
      <w:r>
        <w:rPr>
          <w:iCs/>
          <w:i/>
        </w:rPr>
        <w:t xml:space="preserve">Show me every vendor record where the bank details changed within seven days of a payment.</w:t>
      </w:r>
      <w:r>
        <w:rPr>
          <w:iCs/>
          <w:i/>
        </w:rPr>
        <w:t xml:space="preserve">”</w:t>
      </w:r>
      <w:r>
        <w:t xml:space="preserve"> </w:t>
      </w:r>
      <w:r>
        <w:t xml:space="preserve">It runs on a schedule, evaluates the data, and raises exceptions for someone to work.</w:t>
      </w:r>
    </w:p>
    <w:p>
      <w:pPr>
        <w:pStyle w:val="BodyText"/>
      </w:pPr>
      <w:r>
        <w:t xml:space="preserve">It’s genuinely good technology. And it carries a subtle risk:</w:t>
      </w:r>
      <w:r>
        <w:t xml:space="preserve"> </w:t>
      </w:r>
      <w:r>
        <w:rPr>
          <w:bCs/>
          <w:b/>
        </w:rPr>
        <w:t xml:space="preserve">the organisation stops looking, because the machine is looking.</w:t>
      </w:r>
    </w:p>
    <w:p>
      <w:pPr>
        <w:pStyle w:val="BodyText"/>
      </w:pPr>
      <w:r>
        <w:t xml:space="preserve">At Thornfield, a rule’s data source changed. From that day it evaluated an empty population and returned clean. Six weeks of</w:t>
      </w:r>
      <w:r>
        <w:t xml:space="preserve"> </w:t>
      </w:r>
      <w:r>
        <w:t xml:space="preserve">“</w:t>
      </w:r>
      <w:r>
        <w:t xml:space="preserve">no exceptions,</w:t>
      </w:r>
      <w:r>
        <w:t xml:space="preserve">”</w:t>
      </w:r>
      <w:r>
        <w:t xml:space="preserve"> </w:t>
      </w:r>
      <w:r>
        <w:t xml:space="preserve">all meaningless. Nobody noticed, because a machine that finds nothing and a machine that isn’t checking produce identical output.</w:t>
      </w:r>
    </w:p>
    <w:p>
      <w:pPr>
        <w:pStyle w:val="BodyText"/>
      </w:pPr>
      <w:r>
        <w:rPr>
          <w:bCs/>
          <w:b/>
        </w:rPr>
        <w:t xml:space="preserve">Remember:</w:t>
      </w:r>
      <w:r>
        <w:t xml:space="preserve"> </w:t>
      </w:r>
      <w:r>
        <w:t xml:space="preserve">you’re not testing whether the report is empty. You’re testing whether it’s</w:t>
      </w:r>
      <w:r>
        <w:t xml:space="preserve"> </w:t>
      </w:r>
      <w:r>
        <w:rPr>
          <w:bCs/>
          <w:b/>
        </w:rPr>
        <w:t xml:space="preserve">capable of not being empty</w:t>
      </w:r>
      <w:r>
        <w:t xml:space="preserve">.</w:t>
      </w:r>
    </w:p>
    <w:bookmarkStart w:id="32" w:name="before-the-demo-lab-1"/>
    <w:p>
      <w:pPr>
        <w:pStyle w:val="Heading4"/>
      </w:pPr>
      <w:r>
        <w:t xml:space="preserve">Before the Demo Lab</w:t>
      </w:r>
    </w:p>
    <w:p>
      <w:pPr>
        <w:pStyle w:val="FirstParagraph"/>
      </w:pPr>
      <w:r>
        <w:rPr>
          <w:bCs/>
          <w:b/>
        </w:rPr>
        <w:t xml:space="preserve">The question:</w:t>
      </w:r>
      <w:r>
        <w:t xml:space="preserve"> </w:t>
      </w:r>
      <w:r>
        <w:t xml:space="preserve">is the monitoring rule actually monitoring anything?</w:t>
      </w:r>
    </w:p>
    <w:bookmarkEnd w:id="32"/>
    <w:bookmarkStart w:id="33" w:name="the-screens-1"/>
    <w:p>
      <w:pPr>
        <w:pStyle w:val="Heading4"/>
      </w:pPr>
      <w:r>
        <w:t xml:space="preserve">The screens</w:t>
      </w:r>
    </w:p>
    <w:tbl>
      <w:tblPr>
        <w:tblStyle w:val="Table"/>
        <w:tblW w:type="pct" w:w="4926"/>
        <w:tblLook w:firstRow="1" w:lastRow="0" w:firstColumn="0" w:lastColumn="0" w:noHBand="0" w:noVBand="0" w:val="0020"/>
        <w:jc w:val="start"/>
      </w:tblPr>
      <w:tblGrid>
        <w:gridCol w:w="3226"/>
        <w:gridCol w:w="4576"/>
      </w:tblGrid>
      <w:tr>
        <w:trPr>
          <w:tblHeader w:val="true"/>
        </w:trPr>
        <w:tc>
          <w:tcPr/>
          <w:p>
            <w:pPr>
              <w:pStyle w:val="Compact"/>
              <w:jc w:val="left"/>
            </w:pPr>
            <w:r>
              <w:rPr>
                <w:bCs/>
                <w:b/>
                <w:color w:val="FFFFFF"/>
              </w:rPr>
              <w:t xml:space="preserve">Screen</w:t>
            </w:r>
          </w:p>
        </w:tc>
        <w:tc>
          <w:tcPr/>
          <w:p>
            <w:pPr>
              <w:pStyle w:val="Compact"/>
              <w:jc w:val="left"/>
            </w:pPr>
            <w:r>
              <w:rPr>
                <w:bCs/>
                <w:b/>
                <w:color w:val="FFFFFF"/>
              </w:rPr>
              <w:t xml:space="preserve">What it’s for</w:t>
            </w:r>
          </w:p>
        </w:tc>
      </w:tr>
      <w:tr>
        <w:tc>
          <w:tcPr/>
          <w:p>
            <w:pPr>
              <w:pStyle w:val="Compact"/>
              <w:jc w:val="left"/>
            </w:pPr>
            <w:r>
              <w:rPr>
                <w:bCs/>
                <w:b/>
              </w:rPr>
              <w:t xml:space="preserve">GRC Process Control — business rule definition</w:t>
            </w:r>
          </w:p>
        </w:tc>
        <w:tc>
          <w:tcPr/>
          <w:p>
            <w:pPr>
              <w:pStyle w:val="Compact"/>
              <w:jc w:val="left"/>
            </w:pPr>
            <w:r>
              <w:t xml:space="preserve">What the rule evaluates: data source, filter condition, deficiency criteria</w:t>
            </w:r>
          </w:p>
        </w:tc>
      </w:tr>
      <w:tr>
        <w:tc>
          <w:tcPr/>
          <w:p>
            <w:pPr>
              <w:pStyle w:val="Compact"/>
              <w:jc w:val="left"/>
            </w:pPr>
            <w:r>
              <w:rPr>
                <w:bCs/>
                <w:b/>
              </w:rPr>
              <w:t xml:space="preserve">GRC Process Control — execution history</w:t>
            </w:r>
          </w:p>
        </w:tc>
        <w:tc>
          <w:tcPr/>
          <w:p>
            <w:pPr>
              <w:pStyle w:val="Compact"/>
              <w:jc w:val="left"/>
            </w:pPr>
            <w:r>
              <w:t xml:space="preserve">Did it run, when, with what result</w:t>
            </w:r>
          </w:p>
        </w:tc>
      </w:tr>
      <w:tr>
        <w:tc>
          <w:tcPr/>
          <w:p>
            <w:pPr>
              <w:pStyle w:val="Compact"/>
              <w:jc w:val="left"/>
            </w:pPr>
            <w:r>
              <w:rPr>
                <w:bCs/>
                <w:b/>
              </w:rPr>
              <w:t xml:space="preserve">Rule change history</w:t>
            </w:r>
          </w:p>
        </w:tc>
        <w:tc>
          <w:tcPr/>
          <w:p>
            <w:pPr>
              <w:pStyle w:val="Compact"/>
              <w:jc w:val="left"/>
            </w:pPr>
            <w:r>
              <w:t xml:space="preserve">When was the definition last modified, and by whom</w:t>
            </w:r>
          </w:p>
        </w:tc>
      </w:tr>
      <w:tr>
        <w:tc>
          <w:tcPr/>
          <w:p>
            <w:pPr>
              <w:pStyle w:val="Compact"/>
              <w:jc w:val="left"/>
            </w:pPr>
            <w:r>
              <w:rPr>
                <w:rStyle w:val="VerbatimChar"/>
              </w:rPr>
              <w:t xml:space="preserve">SM37</w:t>
            </w:r>
            <w:r>
              <w:t xml:space="preserve"> </w:t>
            </w:r>
            <w:r>
              <w:rPr>
                <w:iCs/>
                <w:i/>
              </w:rPr>
              <w:t xml:space="preserve">(fallback)</w:t>
            </w:r>
          </w:p>
        </w:tc>
        <w:tc>
          <w:tcPr/>
          <w:p>
            <w:pPr>
              <w:pStyle w:val="Compact"/>
              <w:jc w:val="left"/>
            </w:pPr>
            <w:r>
              <w:t xml:space="preserve">Job execution history, if this environment has no Process Control</w:t>
            </w:r>
          </w:p>
        </w:tc>
      </w:tr>
      <w:tr>
        <w:tc>
          <w:tcPr/>
          <w:p>
            <w:pPr>
              <w:pStyle w:val="Compact"/>
              <w:jc w:val="left"/>
            </w:pPr>
            <w:r>
              <w:rPr>
                <w:rStyle w:val="VerbatimChar"/>
              </w:rPr>
              <w:t xml:space="preserve">SE16N</w:t>
            </w:r>
            <w:r>
              <w:t xml:space="preserve"> </w:t>
            </w:r>
            <w:r>
              <w:t xml:space="preserve">with change documents</w:t>
            </w:r>
            <w:r>
              <w:t xml:space="preserve"> </w:t>
            </w:r>
            <w:r>
              <w:rPr>
                <w:iCs/>
                <w:i/>
              </w:rPr>
              <w:t xml:space="preserve">(fallback)</w:t>
            </w:r>
          </w:p>
        </w:tc>
        <w:tc>
          <w:tcPr/>
          <w:p>
            <w:pPr>
              <w:pStyle w:val="Compact"/>
              <w:jc w:val="left"/>
            </w:pPr>
            <w:r>
              <w:t xml:space="preserve">When the underlying configuration was last changed</w:t>
            </w:r>
          </w:p>
        </w:tc>
      </w:tr>
    </w:tbl>
    <w:p>
      <w:pPr>
        <w:pStyle w:val="BodyText"/>
      </w:pPr>
      <w:r>
        <w:rPr>
          <w:bCs/>
          <w:b/>
        </w:rPr>
        <w:t xml:space="preserve">If your training environment has no GRC Process Control</w:t>
      </w:r>
      <w:r>
        <w:t xml:space="preserve">, the facilitator will show you the same three facts using</w:t>
      </w:r>
      <w:r>
        <w:t xml:space="preserve"> </w:t>
      </w:r>
      <w:r>
        <w:rPr>
          <w:rStyle w:val="VerbatimChar"/>
        </w:rPr>
        <w:t xml:space="preserve">SM37</w:t>
      </w:r>
      <w:r>
        <w:t xml:space="preserve"> </w:t>
      </w:r>
      <w:r>
        <w:t xml:space="preserve">and change documents. That substitution is itself the lesson:</w:t>
      </w:r>
      <w:r>
        <w:t xml:space="preserve"> </w:t>
      </w:r>
      <w:r>
        <w:rPr>
          <w:bCs/>
          <w:b/>
        </w:rPr>
        <w:t xml:space="preserve">the tool changes at every client. The three questions don’t.</w:t>
      </w:r>
    </w:p>
    <w:bookmarkEnd w:id="33"/>
    <w:bookmarkStart w:id="34" w:name="Xa4b9e4990abd9c8f2ead6911161e0af083c0688"/>
    <w:p>
      <w:pPr>
        <w:pStyle w:val="Heading4"/>
      </w:pPr>
      <w:r>
        <w:t xml:space="preserve">Three facts. That’s all this Book asks for</w:t>
      </w:r>
    </w:p>
    <w:p>
      <w:pPr>
        <w:pStyle w:val="FirstParagraph"/>
      </w:pPr>
      <w:r>
        <w:t xml:space="preserve">If you can find these three for one rule, you can test any automated monitoring rule on any platform ever built.</w:t>
      </w:r>
    </w:p>
    <w:p>
      <w:pPr>
        <w:pStyle w:val="BodyText"/>
      </w:pPr>
      <w:r>
        <w:rPr>
          <w:bCs/>
          <w:b/>
        </w:rPr>
        <w:t xml:space="preserve">Fact one — what does it actually evaluate?</w:t>
      </w:r>
    </w:p>
    <w:p>
      <w:pPr>
        <w:pStyle w:val="BodyText"/>
      </w:pPr>
      <w:r>
        <w:t xml:space="preserve">Open the rule definition. Read the data source, the filter condition, and the criteria that decide what counts as a deficiency.</w:t>
      </w:r>
      <w:r>
        <w:t xml:space="preserve"> </w:t>
      </w:r>
      <w:r>
        <w:rPr>
          <w:bCs/>
          <w:b/>
        </w:rPr>
        <w:t xml:space="preserve">Read the condition out loud.</w:t>
      </w:r>
    </w:p>
    <w:p>
      <w:pPr>
        <w:pStyle w:val="BodyText"/>
      </w:pPr>
      <w:r>
        <w:t xml:space="preserve">Then compare it with what the control</w:t>
      </w:r>
      <w:r>
        <w:t xml:space="preserve"> </w:t>
      </w:r>
      <w:r>
        <w:rPr>
          <w:bCs/>
          <w:b/>
        </w:rPr>
        <w:t xml:space="preserve">description</w:t>
      </w:r>
      <w:r>
        <w:t xml:space="preserve"> </w:t>
      </w:r>
      <w:r>
        <w:t xml:space="preserve">claims it does.</w:t>
      </w:r>
    </w:p>
    <w:p>
      <w:pPr>
        <w:pStyle w:val="BodyText"/>
      </w:pPr>
      <w:r>
        <w:t xml:space="preserve">In Book 14, the description said the rule monitored vendor bank detail changes near payment runs. Read the condition and check whether it does.</w:t>
      </w:r>
    </w:p>
    <w:p>
      <w:pPr>
        <w:pStyle w:val="BodyText"/>
      </w:pPr>
      <w:r>
        <w:rPr>
          <w:bCs/>
          <w:b/>
        </w:rPr>
        <w:t xml:space="preserve">A control description is a claim. The rule definition is the fact. When they disagree, the rule wins — and the description is your finding.</w:t>
      </w:r>
    </w:p>
    <w:p>
      <w:pPr>
        <w:pStyle w:val="BodyText"/>
      </w:pPr>
      <w:r>
        <w:rPr>
          <w:bCs/>
          <w:b/>
        </w:rPr>
        <w:t xml:space="preserve">Fact two — when did it last run?</w:t>
      </w:r>
    </w:p>
    <w:p>
      <w:pPr>
        <w:pStyle w:val="BodyText"/>
      </w:pPr>
      <w:r>
        <w:t xml:space="preserve">Scheduled is not the same as executed.</w:t>
      </w:r>
    </w:p>
    <w:p>
      <w:pPr>
        <w:pStyle w:val="BodyText"/>
      </w:pPr>
      <w:r>
        <w:t xml:space="preserve">A rule can sit scheduled and never fire — a scheduling change, a failed job, a deactivated data source.</w:t>
      </w:r>
    </w:p>
    <w:p>
      <w:pPr>
        <w:pStyle w:val="BodyText"/>
      </w:pPr>
      <w:r>
        <w:rPr>
          <w:bCs/>
          <w:b/>
        </w:rPr>
        <w:t xml:space="preserve">Six weeks of</w:t>
      </w:r>
      <w:r>
        <w:rPr>
          <w:bCs/>
          <w:b/>
        </w:rPr>
        <w:t xml:space="preserve"> </w:t>
      </w:r>
      <w:r>
        <w:rPr>
          <w:bCs/>
          <w:b/>
        </w:rPr>
        <w:t xml:space="preserve">“</w:t>
      </w:r>
      <w:r>
        <w:rPr>
          <w:bCs/>
          <w:b/>
        </w:rPr>
        <w:t xml:space="preserve">no exceptions</w:t>
      </w:r>
      <w:r>
        <w:rPr>
          <w:bCs/>
          <w:b/>
        </w:rPr>
        <w:t xml:space="preserve">”</w:t>
      </w:r>
      <w:r>
        <w:rPr>
          <w:bCs/>
          <w:b/>
        </w:rPr>
        <w:t xml:space="preserve"> </w:t>
      </w:r>
      <w:r>
        <w:rPr>
          <w:bCs/>
          <w:b/>
        </w:rPr>
        <w:t xml:space="preserve">and six weeks of</w:t>
      </w:r>
      <w:r>
        <w:rPr>
          <w:bCs/>
          <w:b/>
        </w:rPr>
        <w:t xml:space="preserve"> </w:t>
      </w:r>
      <w:r>
        <w:rPr>
          <w:bCs/>
          <w:b/>
        </w:rPr>
        <w:t xml:space="preserve">“</w:t>
      </w:r>
      <w:r>
        <w:rPr>
          <w:bCs/>
          <w:b/>
        </w:rPr>
        <w:t xml:space="preserve">didn’t run</w:t>
      </w:r>
      <w:r>
        <w:rPr>
          <w:bCs/>
          <w:b/>
        </w:rPr>
        <w:t xml:space="preserve">”</w:t>
      </w:r>
      <w:r>
        <w:rPr>
          <w:bCs/>
          <w:b/>
        </w:rPr>
        <w:t xml:space="preserve"> </w:t>
      </w:r>
      <w:r>
        <w:rPr>
          <w:bCs/>
          <w:b/>
        </w:rPr>
        <w:t xml:space="preserve">produce the same silence.</w:t>
      </w:r>
      <w:r>
        <w:t xml:space="preserve"> </w:t>
      </w:r>
      <w:r>
        <w:t xml:space="preserve">Only the execution history tells them apart.</w:t>
      </w:r>
    </w:p>
    <w:p>
      <w:pPr>
        <w:pStyle w:val="BodyText"/>
      </w:pPr>
      <w:r>
        <w:rPr>
          <w:bCs/>
          <w:b/>
        </w:rPr>
        <w:t xml:space="preserve">Fact three — when was it last changed?</w:t>
      </w:r>
    </w:p>
    <w:p>
      <w:pPr>
        <w:pStyle w:val="BodyText"/>
      </w:pPr>
      <w:r>
        <w:t xml:space="preserve">The one nobody thinks to look for.</w:t>
      </w:r>
    </w:p>
    <w:p>
      <w:pPr>
        <w:pStyle w:val="BodyText"/>
      </w:pPr>
      <w:r>
        <w:t xml:space="preserve">A rule that was correct all year and modified in November is</w:t>
      </w:r>
      <w:r>
        <w:t xml:space="preserve"> </w:t>
      </w:r>
      <w:r>
        <w:rPr>
          <w:bCs/>
          <w:b/>
        </w:rPr>
        <w:t xml:space="preserve">two different controls</w:t>
      </w:r>
      <w:r>
        <w:t xml:space="preserve">. Your conclusion has to cover both periods separately.</w:t>
      </w:r>
    </w:p>
    <w:bookmarkEnd w:id="34"/>
    <w:bookmarkStart w:id="35" w:name="the-thing-no-screen-shows-you"/>
    <w:p>
      <w:pPr>
        <w:pStyle w:val="Heading4"/>
      </w:pPr>
      <w:r>
        <w:t xml:space="preserve">The thing no screen shows you</w:t>
      </w:r>
    </w:p>
    <w:p>
      <w:pPr>
        <w:pStyle w:val="FirstParagraph"/>
      </w:pPr>
      <w:r>
        <w:rPr>
          <w:bCs/>
          <w:b/>
        </w:rPr>
        <w:t xml:space="preserve">A clean result is only evidence if you have established the control was capable of producing a dirty one.</w:t>
      </w:r>
    </w:p>
    <w:p>
      <w:pPr>
        <w:pStyle w:val="BodyText"/>
      </w:pPr>
      <w:r>
        <w:t xml:space="preserve">The strongest way to establish that — and the one juniors never think of — is to go and</w:t>
      </w:r>
      <w:r>
        <w:t xml:space="preserve"> </w:t>
      </w:r>
      <w:r>
        <w:rPr>
          <w:bCs/>
          <w:b/>
        </w:rPr>
        <w:t xml:space="preserve">find a transaction that meets the rule’s condition, independently</w:t>
      </w:r>
      <w:r>
        <w:t xml:space="preserve">. Then confirm the rule flagged it.</w:t>
      </w:r>
    </w:p>
    <w:p>
      <w:pPr>
        <w:pStyle w:val="BodyText"/>
      </w:pPr>
      <w:r>
        <w:t xml:space="preserve">You are not testing whether the report is empty.</w:t>
      </w:r>
      <w:r>
        <w:t xml:space="preserve"> </w:t>
      </w:r>
      <w:r>
        <w:rPr>
          <w:bCs/>
          <w:b/>
        </w:rPr>
        <w:t xml:space="preserve">You are testing whether the report is capable of not being empty.</w:t>
      </w:r>
    </w:p>
    <w:p>
      <w:pPr>
        <w:pStyle w:val="BodyText"/>
      </w:pPr>
      <w:r>
        <w:t xml:space="preserve">That’s a different test. It’s the one that would have caught Book 14 in week one instead of week six.</w:t>
      </w:r>
    </w:p>
    <w:bookmarkEnd w:id="35"/>
    <w:bookmarkStart w:id="36" w:name="what-youll-produce-on-the-session-1"/>
    <w:p>
      <w:pPr>
        <w:pStyle w:val="Heading4"/>
      </w:pPr>
      <w:r>
        <w:t xml:space="preserve">What you’ll produce on the session</w:t>
      </w:r>
    </w:p>
    <w:p>
      <w:pPr>
        <w:pStyle w:val="FirstParagraph"/>
      </w:pPr>
      <w:r>
        <w:t xml:space="preserve">For one rule, in your own words:</w:t>
      </w:r>
    </w:p>
    <w:p>
      <w:pPr>
        <w:numPr>
          <w:ilvl w:val="0"/>
          <w:numId w:val="1002"/>
        </w:numPr>
        <w:pStyle w:val="Compact"/>
      </w:pPr>
      <w:r>
        <w:t xml:space="preserve">What it evaluates</w:t>
      </w:r>
    </w:p>
    <w:p>
      <w:pPr>
        <w:numPr>
          <w:ilvl w:val="0"/>
          <w:numId w:val="1002"/>
        </w:numPr>
        <w:pStyle w:val="Compact"/>
      </w:pPr>
      <w:r>
        <w:t xml:space="preserve">When it last ran</w:t>
      </w:r>
    </w:p>
    <w:p>
      <w:pPr>
        <w:numPr>
          <w:ilvl w:val="0"/>
          <w:numId w:val="1002"/>
        </w:numPr>
        <w:pStyle w:val="Compact"/>
      </w:pPr>
      <w:r>
        <w:t xml:space="preserve">When it was last changed</w:t>
      </w:r>
    </w:p>
    <w:bookmarkEnd w:id="36"/>
    <w:bookmarkStart w:id="37" w:name="the-question-to-bring-1"/>
    <w:p>
      <w:pPr>
        <w:pStyle w:val="Heading4"/>
      </w:pPr>
      <w:r>
        <w:t xml:space="preserve">The question to bring</w:t>
      </w:r>
    </w:p>
    <w:p>
      <w:pPr>
        <w:pStyle w:val="BlockText"/>
      </w:pPr>
      <w:r>
        <w:t xml:space="preserve">The rule is configured correctly — so why do you say it failed? Show me the SM37 history with cancelled runs included.</w:t>
      </w:r>
    </w:p>
    <w:p>
      <w:pPr>
        <w:pStyle w:val="FirstParagraph"/>
      </w:pPr>
      <w:r>
        <w:t xml:space="preserve">Decide your answer before the session — in Defend It, someone will ask it.</w:t>
      </w:r>
    </w:p>
    <w:p>
      <w:pPr>
        <w:pStyle w:val="BodyText"/>
      </w:pPr>
      <w:r>
        <w:rPr>
          <w:bCs/>
          <w:b/>
        </w:rPr>
        <w:t xml:space="preserve">Guided self-study set in this session:</w:t>
      </w:r>
      <w:r>
        <w:t xml:space="preserve"> </w:t>
      </w:r>
      <w:r>
        <w:t xml:space="preserve">Book 23 — The Job That Stopped Running. Work through it in the app before session 11; it is checked at the start of that class.</w:t>
      </w:r>
    </w:p>
    <w:bookmarkEnd w:id="37"/>
    <w:bookmarkEnd w:id="38"/>
    <w:bookmarkStart w:id="43" w:name="X116025cfd46631303c1f575f2e8e618f5f65258"/>
    <w:p>
      <w:pPr>
        <w:pStyle w:val="Heading3"/>
      </w:pPr>
      <w:r>
        <w:t xml:space="preserve">Book 23 — The Job That Stopped Running (guided self-study)</w:t>
      </w:r>
    </w:p>
    <w:p>
      <w:pPr>
        <w:pStyle w:val="FirstParagraph"/>
      </w:pPr>
      <w:r>
        <w:rPr>
          <w:iCs/>
          <w:i/>
        </w:rPr>
        <w:t xml:space="preserve">Part VII · Batch Job Monitoring Testing</w:t>
      </w:r>
    </w:p>
    <w:p>
      <w:pPr>
        <w:pStyle w:val="BodyText"/>
      </w:pPr>
      <w:r>
        <w:rPr>
          <w:bCs/>
          <w:b/>
        </w:rPr>
        <w:t xml:space="preserve">Scope area: Batch Job Monitoring Testing</w:t>
      </w:r>
    </w:p>
    <w:p>
      <w:pPr>
        <w:pStyle w:val="BodyText"/>
      </w:pPr>
      <w:r>
        <w:t xml:space="preserve">Confirm that scheduled batch jobs are actually monitored for failure — not just the backup job — by testing execution history against the expected schedule.</w:t>
      </w:r>
    </w:p>
    <w:bookmarkStart w:id="39" w:name="what-to-watch-for"/>
    <w:p>
      <w:pPr>
        <w:pStyle w:val="Heading5"/>
      </w:pPr>
      <w:r>
        <w:t xml:space="preserve">What to watch for</w:t>
      </w:r>
    </w:p>
    <w:p>
      <w:pPr>
        <w:pStyle w:val="FirstParagraph"/>
      </w:pPr>
      <w:r>
        <w:t xml:space="preserve">Leaving Cancelled unticked in SM37 will show zero failures — confidently and wrongly. And "finished" is not the same as "worked": a job that completed having processed zero records still shows as finished.</w:t>
      </w:r>
    </w:p>
    <w:bookmarkEnd w:id="39"/>
    <w:bookmarkStart w:id="40" w:name="evidence-you-will-need"/>
    <w:p>
      <w:pPr>
        <w:pStyle w:val="Heading5"/>
      </w:pPr>
      <w:r>
        <w:t xml:space="preserve">Evidence you will need</w:t>
      </w:r>
    </w:p>
    <w:p>
      <w:pPr>
        <w:pStyle w:val="FirstParagraph"/>
      </w:pPr>
      <w:r>
        <w:t xml:space="preserve">The documented expected execution count written down before running SM37, the SM37 selection screen and result with Cancelled included, one job log and step list, and a schedule-versus-actual comparison showing any missing dates.</w:t>
      </w:r>
    </w:p>
    <w:bookmarkEnd w:id="40"/>
    <w:bookmarkStart w:id="41" w:name="X1c89ceffc96a65f9f6804de866e3ed6ca110b37"/>
    <w:p>
      <w:pPr>
        <w:pStyle w:val="Heading5"/>
      </w:pPr>
      <w:r>
        <w:t xml:space="preserve">Execution steps (as they appear in the app)</w:t>
      </w:r>
    </w:p>
    <w:p>
      <w:pPr>
        <w:pStyle w:val="FirstParagraph"/>
      </w:pPr>
      <w:r>
        <w:rPr>
          <w:bCs/>
          <w:b/>
        </w:rPr>
        <w:t xml:space="preserve">SM37 (SAP GUI):</w:t>
      </w:r>
      <w:r>
        <w:t xml:space="preserve"> </w:t>
      </w:r>
      <w:r>
        <w:t xml:space="preserve">Run with job name and user both set to wildcard for your date range, with every status box ticked including Cancelled. [Navigation: type SM37 in the command field, set Job name = *, User name = *, set your date range, tick all status checkboxes, execute.]</w:t>
      </w:r>
    </w:p>
    <w:p>
      <w:pPr>
        <w:pStyle w:val="BodyText"/>
      </w:pPr>
      <w:r>
        <w:rPr>
          <w:bCs/>
          <w:b/>
        </w:rPr>
        <w:t xml:space="preserve">SM37 log (SAP GUI):</w:t>
      </w:r>
      <w:r>
        <w:t xml:space="preserve"> </w:t>
      </w:r>
      <w:r>
        <w:t xml:space="preserve">Sort the result by status and record the count of cancelled jobs. Open one cancelled job's log to read the failure reason, then open its Step detail to see the program it runs.</w:t>
      </w:r>
    </w:p>
    <w:p>
      <w:pPr>
        <w:pStyle w:val="BodyText"/>
      </w:pPr>
      <w:r>
        <w:rPr>
          <w:bCs/>
          <w:b/>
        </w:rPr>
        <w:t xml:space="preserve">SM36 (SAP GUI):</w:t>
      </w:r>
      <w:r>
        <w:t xml:space="preserve"> </w:t>
      </w:r>
      <w:r>
        <w:t xml:space="preserve">Display the job definition to confirm expected scheduling frequency, and compare against what actually appeared in SM37 — a job never released produces no row at all. [Navigation: type SM36 in the command field, locate the job definition.]</w:t>
      </w:r>
    </w:p>
    <w:bookmarkEnd w:id="41"/>
    <w:bookmarkStart w:id="42" w:name="the-question-to-bring-2"/>
    <w:p>
      <w:pPr>
        <w:pStyle w:val="Heading4"/>
      </w:pPr>
      <w:r>
        <w:t xml:space="preserve">The question to bring</w:t>
      </w:r>
    </w:p>
    <w:p>
      <w:pPr>
        <w:pStyle w:val="BlockText"/>
      </w:pPr>
      <w:r>
        <w:t xml:space="preserve">The rule is configured correctly — so why do you say it failed? Show me the SM37 history with cancelled runs included.</w:t>
      </w:r>
    </w:p>
    <w:p>
      <w:pPr>
        <w:pStyle w:val="FirstParagraph"/>
      </w:pPr>
      <w:r>
        <w:t xml:space="preserve">Decide your answer before the session — in Defend It, someone will ask it.</w:t>
      </w:r>
    </w:p>
    <w:bookmarkEnd w:id="42"/>
    <w:bookmarkEnd w:id="43"/>
    <w:bookmarkEnd w:id="44"/>
    <w:bookmarkStart w:id="63" w:name="session-11-sat-book-3-the-approval-limit"/>
    <w:p>
      <w:pPr>
        <w:pStyle w:val="Heading2"/>
      </w:pPr>
      <w:r>
        <w:t xml:space="preserve">Session 11 — Sat · Book 3 — The Approval Limit</w:t>
      </w:r>
    </w:p>
    <w:bookmarkStart w:id="62" w:name="book-3-the-approval-limit"/>
    <w:p>
      <w:pPr>
        <w:pStyle w:val="Heading3"/>
      </w:pPr>
      <w:r>
        <w:t xml:space="preserve">Book 3 — The Approval Limit</w:t>
      </w:r>
    </w:p>
    <w:p>
      <w:pPr>
        <w:pStyle w:val="FirstParagraph"/>
      </w:pPr>
      <w:r>
        <w:rPr>
          <w:iCs/>
          <w:i/>
        </w:rPr>
        <w:t xml:space="preserve">Part III · Manual Journal Entry Review Testing</w:t>
      </w:r>
    </w:p>
    <w:p>
      <w:pPr>
        <w:pStyle w:val="BodyText"/>
      </w:pPr>
      <w:r>
        <w:rPr>
          <w:bCs/>
          <w:b/>
        </w:rPr>
        <w:t xml:space="preserve">Scope area:</w:t>
      </w:r>
      <w:r>
        <w:t xml:space="preserve"> </w:t>
      </w:r>
      <w:r>
        <w:t xml:space="preserve">Record to report · journal entries</w:t>
      </w:r>
      <w:r>
        <w:t xml:space="preserve"> </w:t>
      </w:r>
      <w:r>
        <w:rPr>
          <w:bCs/>
          <w:b/>
        </w:rPr>
        <w:t xml:space="preserve">Read this one in full.</w:t>
      </w:r>
    </w:p>
    <w:bookmarkStart w:id="45" w:name="the-control-that-looked-perfect"/>
    <w:p>
      <w:pPr>
        <w:pStyle w:val="Heading4"/>
      </w:pPr>
      <w:r>
        <w:t xml:space="preserve">The control that looked perfect</w:t>
      </w:r>
    </w:p>
    <w:p>
      <w:pPr>
        <w:pStyle w:val="FirstParagraph"/>
      </w:pPr>
      <w:r>
        <w:t xml:space="preserve">Thornfield has a good journal entry control, on paper.</w:t>
      </w:r>
    </w:p>
    <w:p>
      <w:pPr>
        <w:pStyle w:val="BodyText"/>
      </w:pPr>
      <w:r>
        <w:t xml:space="preserve">Manual journal entries above a threshold route automatically through workflow to an independent second person for approval, before they post. It’s preventive. It’s system-enforced. Nobody can bypass it by being busy or forgetful, because the machine does the routing.</w:t>
      </w:r>
    </w:p>
    <w:p>
      <w:pPr>
        <w:pStyle w:val="BodyText"/>
      </w:pPr>
      <w:r>
        <w:t xml:space="preserve">Théo Laurent tested it in March.</w:t>
      </w:r>
    </w:p>
    <w:p>
      <w:pPr>
        <w:pStyle w:val="BodyText"/>
      </w:pPr>
      <w:r>
        <w:t xml:space="preserve">He pulled the journal entries that had routed through workflow. He selected twenty-five. For each one he checked that an approval existed, that the approver was somebody other than the preparer, and that the approval came before the posting.</w:t>
      </w:r>
    </w:p>
    <w:p>
      <w:pPr>
        <w:pStyle w:val="BodyText"/>
      </w:pPr>
      <w:r>
        <w:rPr>
          <w:bCs/>
          <w:b/>
        </w:rPr>
        <w:t xml:space="preserve">Twenty-five out of twenty-five. Perfect.</w:t>
      </w:r>
    </w:p>
    <w:p>
      <w:pPr>
        <w:pStyle w:val="BodyText"/>
      </w:pPr>
      <w:r>
        <w:t xml:space="preserve">He wrote</w:t>
      </w:r>
      <w:r>
        <w:t xml:space="preserve"> </w:t>
      </w:r>
      <w:r>
        <w:t xml:space="preserve">“</w:t>
      </w:r>
      <w:r>
        <w:t xml:space="preserve">no exceptions noted.</w:t>
      </w:r>
      <w:r>
        <w:t xml:space="preserve">”</w:t>
      </w:r>
      <w:r>
        <w:t xml:space="preserve"> </w:t>
      </w:r>
      <w:r>
        <w:t xml:space="preserve">His workpaper was neat, complete, and well referenced.</w:t>
      </w:r>
    </w:p>
    <w:bookmarkEnd w:id="45"/>
    <w:bookmarkStart w:id="46" w:name="yusufs-question"/>
    <w:p>
      <w:pPr>
        <w:pStyle w:val="Heading4"/>
      </w:pPr>
      <w:r>
        <w:t xml:space="preserve">Yusuf’s question</w:t>
      </w:r>
    </w:p>
    <w:p>
      <w:pPr>
        <w:pStyle w:val="FirstParagraph"/>
      </w:pPr>
      <w:r>
        <w:t xml:space="preserve">Yusuf Bello, the Internal Audit Manager, reviewed it. He asked one question, and it took Théo four days to recover from it.</w:t>
      </w:r>
    </w:p>
    <w:p>
      <w:pPr>
        <w:pStyle w:val="BlockText"/>
      </w:pPr>
      <w:r>
        <w:rPr>
          <w:iCs/>
          <w:i/>
        </w:rPr>
        <w:t xml:space="preserve">“</w:t>
      </w:r>
      <w:r>
        <w:rPr>
          <w:iCs/>
          <w:i/>
        </w:rPr>
        <w:t xml:space="preserve">You’ve confirmed the threshold is correctly configured. How do you know it was configured that way for the whole period?</w:t>
      </w:r>
      <w:r>
        <w:rPr>
          <w:iCs/>
          <w:i/>
        </w:rPr>
        <w:t xml:space="preserve">”</w:t>
      </w:r>
    </w:p>
    <w:p>
      <w:pPr>
        <w:pStyle w:val="FirstParagraph"/>
      </w:pPr>
      <w:r>
        <w:t xml:space="preserve">Théo hadn’t confirmed the threshold at all. He’d tested the entries that routed.</w:t>
      </w:r>
    </w:p>
    <w:p>
      <w:pPr>
        <w:pStyle w:val="BodyText"/>
      </w:pPr>
      <w:r>
        <w:t xml:space="preserve">And it took him a while to see why that mattered, because at first it sounds like the same thing.</w:t>
      </w:r>
    </w:p>
    <w:bookmarkEnd w:id="46"/>
    <w:bookmarkStart w:id="47" w:name="why-it-isnt-the-same-thing"/>
    <w:p>
      <w:pPr>
        <w:pStyle w:val="Heading4"/>
      </w:pPr>
      <w:r>
        <w:t xml:space="preserve">Why it isn’t the same thing</w:t>
      </w:r>
    </w:p>
    <w:p>
      <w:pPr>
        <w:pStyle w:val="FirstParagraph"/>
      </w:pPr>
      <w:r>
        <w:t xml:space="preserve">Here’s the shape of it, and it’s worth reading twice.</w:t>
      </w:r>
    </w:p>
    <w:p>
      <w:pPr>
        <w:pStyle w:val="BodyText"/>
      </w:pPr>
      <w:r>
        <w:rPr>
          <w:bCs/>
          <w:b/>
        </w:rPr>
        <w:t xml:space="preserve">The entries Théo sampled were the entries the routing rule sent to workflow.</w:t>
      </w:r>
      <w:r>
        <w:t xml:space="preserve"> </w:t>
      </w:r>
      <w:r>
        <w:t xml:space="preserve">If the rule was wrong, the entries it wrongly let through never entered his sample — because they never routed.</w:t>
      </w:r>
    </w:p>
    <w:p>
      <w:pPr>
        <w:pStyle w:val="BodyText"/>
      </w:pPr>
      <w:r>
        <w:t xml:space="preserve">He had sampled the population the broken rule produced, and found it clean. It was always going to be clean.</w:t>
      </w:r>
      <w:r>
        <w:t xml:space="preserve"> </w:t>
      </w:r>
      <w:r>
        <w:rPr>
          <w:bCs/>
          <w:b/>
        </w:rPr>
        <w:t xml:space="preserve">His test could not have failed.</w:t>
      </w:r>
    </w:p>
    <w:bookmarkEnd w:id="47"/>
    <w:bookmarkStart w:id="48" w:name="the-zero"/>
    <w:p>
      <w:pPr>
        <w:pStyle w:val="Heading4"/>
      </w:pPr>
      <w:r>
        <w:t xml:space="preserve">The zero</w:t>
      </w:r>
    </w:p>
    <w:p>
      <w:pPr>
        <w:pStyle w:val="FirstParagraph"/>
      </w:pPr>
      <w:r>
        <w:t xml:space="preserve">Devon pulled the configuration.</w:t>
      </w:r>
    </w:p>
    <w:p>
      <w:pPr>
        <w:pStyle w:val="BodyText"/>
      </w:pPr>
      <w:r>
        <w:t xml:space="preserve">Thornfield’s policy says manual journal entries over</w:t>
      </w:r>
      <w:r>
        <w:t xml:space="preserve"> </w:t>
      </w:r>
      <w:r>
        <w:rPr>
          <w:bCs/>
          <w:b/>
        </w:rPr>
        <w:t xml:space="preserve">ten thousand dollars</w:t>
      </w:r>
      <w:r>
        <w:t xml:space="preserve"> </w:t>
      </w:r>
      <w:r>
        <w:t xml:space="preserve">route for approval.</w:t>
      </w:r>
    </w:p>
    <w:p>
      <w:pPr>
        <w:pStyle w:val="BodyText"/>
      </w:pPr>
      <w:r>
        <w:t xml:space="preserve">The workflow parameter said</w:t>
      </w:r>
      <w:r>
        <w:t xml:space="preserve"> </w:t>
      </w:r>
      <w:r>
        <w:rPr>
          <w:bCs/>
          <w:b/>
        </w:rPr>
        <w:t xml:space="preserve">one hundred thousand</w:t>
      </w:r>
      <w:r>
        <w:t xml:space="preserve">.</w:t>
      </w:r>
    </w:p>
    <w:p>
      <w:pPr>
        <w:pStyle w:val="BodyText"/>
      </w:pPr>
      <w:r>
        <w:t xml:space="preserve">Somebody, at some point, had typed one zero too many into a configuration field. Not maliciously. Not carelessly, even — the field is one of several hundred on a screen almost nobody re-reads.</w:t>
      </w:r>
    </w:p>
    <w:p>
      <w:pPr>
        <w:pStyle w:val="BodyText"/>
      </w:pPr>
      <w:r>
        <w:t xml:space="preserve">Everything between ten thousand and a hundred thousand had sailed straight through. Posted. Unreviewed.</w:t>
      </w:r>
    </w:p>
    <w:p>
      <w:pPr>
        <w:pStyle w:val="BodyText"/>
      </w:pPr>
      <w:r>
        <w:rPr>
          <w:bCs/>
          <w:b/>
        </w:rPr>
        <w:t xml:space="preserve">For two quarters.</w:t>
      </w:r>
    </w:p>
    <w:p>
      <w:pPr>
        <w:pStyle w:val="BodyText"/>
      </w:pPr>
      <w:r>
        <w:t xml:space="preserve">Four hundred and twelve entries.</w:t>
      </w:r>
    </w:p>
    <w:bookmarkEnd w:id="48"/>
    <w:bookmarkStart w:id="49" w:name="the-second-question"/>
    <w:p>
      <w:pPr>
        <w:pStyle w:val="Heading4"/>
      </w:pPr>
      <w:r>
        <w:t xml:space="preserve">The second question</w:t>
      </w:r>
    </w:p>
    <w:p>
      <w:pPr>
        <w:pStyle w:val="FirstParagraph"/>
      </w:pPr>
      <w:r>
        <w:t xml:space="preserve">Théo’s next instinct was to check the parameter’s current value and confirm it was right.</w:t>
      </w:r>
    </w:p>
    <w:p>
      <w:pPr>
        <w:pStyle w:val="BodyText"/>
      </w:pPr>
      <w:r>
        <w:rPr>
          <w:bCs/>
          <w:b/>
        </w:rPr>
        <w:t xml:space="preserve">It was right.</w:t>
      </w:r>
      <w:r>
        <w:t xml:space="preserve"> </w:t>
      </w:r>
      <w:r>
        <w:t xml:space="preserve">Somebody had corrected it in a routine configuration change six weeks earlier, without anyone connecting the correction to a control failure.</w:t>
      </w:r>
    </w:p>
    <w:p>
      <w:pPr>
        <w:pStyle w:val="BodyText"/>
      </w:pPr>
      <w:r>
        <w:t xml:space="preserve">So Théo nearly wrote a clean conclusion for a second time.</w:t>
      </w:r>
    </w:p>
    <w:p>
      <w:pPr>
        <w:pStyle w:val="BodyText"/>
      </w:pPr>
      <w:r>
        <w:t xml:space="preserve">Nadia caught it:</w:t>
      </w:r>
    </w:p>
    <w:p>
      <w:pPr>
        <w:pStyle w:val="BlockText"/>
      </w:pPr>
      <w:r>
        <w:rPr>
          <w:iCs/>
          <w:i/>
        </w:rPr>
        <w:t xml:space="preserve">“</w:t>
      </w:r>
      <w:r>
        <w:rPr>
          <w:iCs/>
          <w:i/>
        </w:rPr>
        <w:t xml:space="preserve">The value today isn’t evidence of the value in March. You need the change history.</w:t>
      </w:r>
      <w:r>
        <w:rPr>
          <w:iCs/>
          <w:i/>
        </w:rPr>
        <w:t xml:space="preserve">”</w:t>
      </w:r>
    </w:p>
    <w:p>
      <w:pPr>
        <w:pStyle w:val="FirstParagraph"/>
      </w:pPr>
      <w:r>
        <w:t xml:space="preserve">The change history showed the parameter had been wrong from January to the beginning of June. That’s what turned</w:t>
      </w:r>
      <w:r>
        <w:t xml:space="preserve"> </w:t>
      </w:r>
      <w:r>
        <w:t xml:space="preserve">“</w:t>
      </w:r>
      <w:r>
        <w:t xml:space="preserve">the threshold is currently correct</w:t>
      </w:r>
      <w:r>
        <w:t xml:space="preserve">”</w:t>
      </w:r>
      <w:r>
        <w:t xml:space="preserve"> </w:t>
      </w:r>
      <w:r>
        <w:t xml:space="preserve">into a finding with a start date, an end date, and a population.</w:t>
      </w:r>
    </w:p>
    <w:bookmarkEnd w:id="49"/>
    <w:bookmarkStart w:id="50" w:name="how-it-was-written"/>
    <w:p>
      <w:pPr>
        <w:pStyle w:val="Heading4"/>
      </w:pPr>
      <w:r>
        <w:t xml:space="preserve">How it was written</w:t>
      </w:r>
    </w:p>
    <w:p>
      <w:pPr>
        <w:pStyle w:val="BlockText"/>
      </w:pPr>
      <w:r>
        <w:rPr>
          <w:iCs/>
          <w:i/>
        </w:rPr>
        <w:t xml:space="preserve">“</w:t>
      </w:r>
      <w:r>
        <w:rPr>
          <w:iCs/>
          <w:i/>
        </w:rPr>
        <w:t xml:space="preserve">Four hundred and twelve manual journal entries totalling $18.4 million were posted above the policy approval threshold without workflow routing, as a result of a workflow configuration parameter set to $100,000 rather than the policy value of $10,000, from 3 January to 6 June.</w:t>
      </w:r>
      <w:r>
        <w:rPr>
          <w:iCs/>
          <w:i/>
        </w:rPr>
        <w:t xml:space="preserve">”</w:t>
      </w:r>
    </w:p>
    <w:p>
      <w:pPr>
        <w:pStyle w:val="FirstParagraph"/>
      </w:pPr>
      <w:r>
        <w:t xml:space="preserve">One sentence. It contains the</w:t>
      </w:r>
      <w:r>
        <w:t xml:space="preserve"> </w:t>
      </w:r>
      <w:r>
        <w:rPr>
          <w:bCs/>
          <w:b/>
        </w:rPr>
        <w:t xml:space="preserve">what</w:t>
      </w:r>
      <w:r>
        <w:t xml:space="preserve">, the</w:t>
      </w:r>
      <w:r>
        <w:t xml:space="preserve"> </w:t>
      </w:r>
      <w:r>
        <w:rPr>
          <w:bCs/>
          <w:b/>
        </w:rPr>
        <w:t xml:space="preserve">how many</w:t>
      </w:r>
      <w:r>
        <w:t xml:space="preserve">, the</w:t>
      </w:r>
      <w:r>
        <w:t xml:space="preserve"> </w:t>
      </w:r>
      <w:r>
        <w:rPr>
          <w:bCs/>
          <w:b/>
        </w:rPr>
        <w:t xml:space="preserve">how much</w:t>
      </w:r>
      <w:r>
        <w:t xml:space="preserve">, the</w:t>
      </w:r>
      <w:r>
        <w:t xml:space="preserve"> </w:t>
      </w:r>
      <w:r>
        <w:rPr>
          <w:bCs/>
          <w:b/>
        </w:rPr>
        <w:t xml:space="preserve">cause</w:t>
      </w:r>
      <w:r>
        <w:t xml:space="preserve">, and the</w:t>
      </w:r>
      <w:r>
        <w:t xml:space="preserve"> </w:t>
      </w:r>
      <w:r>
        <w:rPr>
          <w:bCs/>
          <w:b/>
        </w:rPr>
        <w:t xml:space="preserve">duration</w:t>
      </w:r>
      <w:r>
        <w:t xml:space="preserve">.</w:t>
      </w:r>
    </w:p>
    <w:p>
      <w:pPr>
        <w:pStyle w:val="BodyText"/>
      </w:pPr>
      <w:r>
        <w:t xml:space="preserve">A Financial Controller can act on it without asking a single follow-up question. That’s the standard your workpapers get held to for the rest of this course.</w:t>
      </w:r>
    </w:p>
    <w:bookmarkEnd w:id="50"/>
    <w:bookmarkStart w:id="51" w:name="what-to-notice"/>
    <w:p>
      <w:pPr>
        <w:pStyle w:val="Heading4"/>
      </w:pPr>
      <w:r>
        <w:t xml:space="preserve">What to notice</w:t>
      </w:r>
    </w:p>
    <w:p>
      <w:pPr>
        <w:pStyle w:val="FirstParagraph"/>
      </w:pPr>
      <w:r>
        <w:rPr>
          <w:bCs/>
          <w:b/>
        </w:rPr>
        <w:t xml:space="preserve">1. A clean result is only evidence if the control could have produced a dirty one.</w:t>
      </w:r>
      <w:r>
        <w:t xml:space="preserve"> </w:t>
      </w:r>
      <w:r>
        <w:t xml:space="preserve">Théo’s test was incapable of failing. That’s the most dangerous outcome in this profession, and it looks exactly like success.</w:t>
      </w:r>
    </w:p>
    <w:p>
      <w:pPr>
        <w:pStyle w:val="BodyText"/>
      </w:pPr>
      <w:r>
        <w:rPr>
          <w:bCs/>
          <w:b/>
        </w:rPr>
        <w:t xml:space="preserve">2. An automated control has two testable components.</w:t>
      </w:r>
      <w:r>
        <w:t xml:space="preserve"> </w:t>
      </w:r>
      <w:r>
        <w:t xml:space="preserve">Configuration and operation. Testing only operation is testing half a control — and it’s the half that can’t find this failure.</w:t>
      </w:r>
    </w:p>
    <w:p>
      <w:pPr>
        <w:pStyle w:val="BodyText"/>
      </w:pPr>
      <w:r>
        <w:rPr>
          <w:bCs/>
          <w:b/>
        </w:rPr>
        <w:t xml:space="preserve">3. The configuration test takes five minutes.</w:t>
      </w:r>
      <w:r>
        <w:t xml:space="preserve"> </w:t>
      </w:r>
      <w:r>
        <w:t xml:space="preserve">That’s what it costs to skip. Two quarters, four hundred and twelve entries, eighteen million dollars.</w:t>
      </w:r>
    </w:p>
    <w:p>
      <w:pPr>
        <w:pStyle w:val="BodyText"/>
      </w:pPr>
      <w:r>
        <w:rPr>
          <w:bCs/>
          <w:b/>
        </w:rPr>
        <w:t xml:space="preserve">4. Current value is not period value.</w:t>
      </w:r>
      <w:r>
        <w:t xml:space="preserve"> </w:t>
      </w:r>
      <w:r>
        <w:t xml:space="preserve">The parameter was right when he looked. It had been wrong for five months. Change history is where the finding lives.</w:t>
      </w:r>
    </w:p>
    <w:p>
      <w:pPr>
        <w:pStyle w:val="BodyText"/>
      </w:pPr>
      <w:r>
        <w:rPr>
          <w:bCs/>
          <w:b/>
        </w:rPr>
        <w:t xml:space="preserve">5. There is no villain again.</w:t>
      </w:r>
      <w:r>
        <w:t xml:space="preserve"> </w:t>
      </w:r>
      <w:r>
        <w:t xml:space="preserve">A typo, in a configuration field, in a system nobody re-reads. Third Book in a row.</w:t>
      </w:r>
    </w:p>
    <w:bookmarkEnd w:id="51"/>
    <w:bookmarkStart w:id="52" w:name="the-question-to-bring-to-class"/>
    <w:p>
      <w:pPr>
        <w:pStyle w:val="Heading4"/>
      </w:pPr>
      <w:r>
        <w:t xml:space="preserve">The question to bring to class</w:t>
      </w:r>
    </w:p>
    <w:p>
      <w:pPr>
        <w:pStyle w:val="FirstParagraph"/>
      </w:pPr>
      <w:r>
        <w:t xml:space="preserve">Book 14 is called</w:t>
      </w:r>
      <w:r>
        <w:t xml:space="preserve"> </w:t>
      </w:r>
      <w:r>
        <w:rPr>
          <w:bCs/>
          <w:b/>
        </w:rPr>
        <w:t xml:space="preserve">The Rule That Never Fired</w:t>
      </w:r>
      <w:r>
        <w:t xml:space="preserve">. An automated exception rule returned a clean result for six weeks — because it had silently stopped checking.</w:t>
      </w:r>
    </w:p>
    <w:p>
      <w:pPr>
        <w:pStyle w:val="BodyText"/>
      </w:pPr>
      <w:r>
        <w:rPr>
          <w:bCs/>
          <w:b/>
        </w:rPr>
        <w:t xml:space="preserve">A working control that finds nothing and a broken control both report</w:t>
      </w:r>
      <w:r>
        <w:rPr>
          <w:bCs/>
          <w:b/>
        </w:rPr>
        <w:t xml:space="preserve"> </w:t>
      </w:r>
      <w:r>
        <w:rPr>
          <w:bCs/>
          <w:b/>
        </w:rPr>
        <w:t xml:space="preserve">“</w:t>
      </w:r>
      <w:r>
        <w:rPr>
          <w:bCs/>
          <w:b/>
        </w:rPr>
        <w:t xml:space="preserve">no exceptions.</w:t>
      </w:r>
      <w:r>
        <w:rPr>
          <w:bCs/>
          <w:b/>
        </w:rPr>
        <w:t xml:space="preserve">”</w:t>
      </w:r>
    </w:p>
    <w:p>
      <w:pPr>
        <w:pStyle w:val="BodyText"/>
      </w:pPr>
      <w:r>
        <w:t xml:space="preserve">How would you ever tell them apart? Come with a thought.</w:t>
      </w:r>
    </w:p>
    <w:bookmarkEnd w:id="52"/>
    <w:bookmarkStart w:id="53" w:name="before-the-demo-lab-2"/>
    <w:p>
      <w:pPr>
        <w:pStyle w:val="Heading4"/>
      </w:pPr>
      <w:r>
        <w:t xml:space="preserve">Before the Demo Lab</w:t>
      </w:r>
    </w:p>
    <w:p>
      <w:pPr>
        <w:pStyle w:val="FirstParagraph"/>
      </w:pPr>
      <w:r>
        <w:rPr>
          <w:bCs/>
          <w:b/>
        </w:rPr>
        <w:t xml:space="preserve">The question:</w:t>
      </w:r>
      <w:r>
        <w:t xml:space="preserve"> </w:t>
      </w:r>
      <w:r>
        <w:t xml:space="preserve">did entries above the threshold get independently approved</w:t>
      </w:r>
      <w:r>
        <w:t xml:space="preserve"> </w:t>
      </w:r>
      <w:r>
        <w:rPr>
          <w:iCs/>
          <w:i/>
        </w:rPr>
        <w:t xml:space="preserve">before</w:t>
      </w:r>
      <w:r>
        <w:t xml:space="preserve"> </w:t>
      </w:r>
      <w:r>
        <w:t xml:space="preserve">they posted — and was the threshold itself right?</w:t>
      </w:r>
    </w:p>
    <w:bookmarkEnd w:id="53"/>
    <w:bookmarkStart w:id="54" w:name="the-screens-2"/>
    <w:p>
      <w:pPr>
        <w:pStyle w:val="Heading4"/>
      </w:pPr>
      <w:r>
        <w:t xml:space="preserve">The screens</w:t>
      </w:r>
    </w:p>
    <w:tbl>
      <w:tblPr>
        <w:tblStyle w:val="Table"/>
        <w:tblW w:type="pct" w:w="4911"/>
        <w:tblLook w:firstRow="1" w:lastRow="0" w:firstColumn="0" w:lastColumn="0" w:noHBand="0" w:noVBand="0" w:val="0020"/>
        <w:jc w:val="start"/>
      </w:tblPr>
      <w:tblGrid>
        <w:gridCol w:w="2050"/>
        <w:gridCol w:w="5727"/>
      </w:tblGrid>
      <w:tr>
        <w:trPr>
          <w:tblHeader w:val="true"/>
        </w:trPr>
        <w:tc>
          <w:tcPr/>
          <w:p>
            <w:pPr>
              <w:pStyle w:val="Compact"/>
              <w:jc w:val="left"/>
            </w:pPr>
            <w:r>
              <w:rPr>
                <w:bCs/>
                <w:b/>
                <w:color w:val="FFFFFF"/>
              </w:rPr>
              <w:t xml:space="preserve">Screen</w:t>
            </w:r>
          </w:p>
        </w:tc>
        <w:tc>
          <w:tcPr/>
          <w:p>
            <w:pPr>
              <w:pStyle w:val="Compact"/>
              <w:jc w:val="left"/>
            </w:pPr>
            <w:r>
              <w:rPr>
                <w:bCs/>
                <w:b/>
                <w:color w:val="FFFFFF"/>
              </w:rPr>
              <w:t xml:space="preserve">What it’s for</w:t>
            </w:r>
          </w:p>
        </w:tc>
      </w:tr>
      <w:tr>
        <w:tc>
          <w:tcPr/>
          <w:p>
            <w:pPr>
              <w:pStyle w:val="Compact"/>
              <w:jc w:val="left"/>
            </w:pPr>
            <w:r>
              <w:rPr>
                <w:rStyle w:val="VerbatimChar"/>
              </w:rPr>
              <w:t xml:space="preserve">FBL3N</w:t>
            </w:r>
          </w:p>
        </w:tc>
        <w:tc>
          <w:tcPr/>
          <w:p>
            <w:pPr>
              <w:pStyle w:val="Compact"/>
              <w:jc w:val="left"/>
            </w:pPr>
            <w:r>
              <w:t xml:space="preserve">G/L account line item display — the starting point, with a trap in it</w:t>
            </w:r>
          </w:p>
        </w:tc>
      </w:tr>
      <w:tr>
        <w:tc>
          <w:tcPr/>
          <w:p>
            <w:pPr>
              <w:pStyle w:val="Compact"/>
              <w:jc w:val="left"/>
            </w:pPr>
            <w:r>
              <w:rPr>
                <w:rStyle w:val="VerbatimChar"/>
              </w:rPr>
              <w:t xml:space="preserve">FB03</w:t>
            </w:r>
          </w:p>
        </w:tc>
        <w:tc>
          <w:tcPr/>
          <w:p>
            <w:pPr>
              <w:pStyle w:val="Compact"/>
              <w:jc w:val="left"/>
            </w:pPr>
            <w:r>
              <w:t xml:space="preserve">Display one accounting document — header, creator, timestamps, document type</w:t>
            </w:r>
          </w:p>
        </w:tc>
      </w:tr>
      <w:tr>
        <w:tc>
          <w:tcPr/>
          <w:p>
            <w:pPr>
              <w:pStyle w:val="Compact"/>
              <w:jc w:val="left"/>
            </w:pPr>
            <w:r>
              <w:rPr>
                <w:rStyle w:val="VerbatimChar"/>
              </w:rPr>
              <w:t xml:space="preserve">SWI1</w:t>
            </w:r>
            <w:r>
              <w:t xml:space="preserve"> </w:t>
            </w:r>
            <w:r>
              <w:t xml:space="preserve">/</w:t>
            </w:r>
            <w:r>
              <w:t xml:space="preserve"> </w:t>
            </w:r>
            <w:r>
              <w:rPr>
                <w:rStyle w:val="VerbatimChar"/>
              </w:rPr>
              <w:t xml:space="preserve">SWIA</w:t>
            </w:r>
          </w:p>
        </w:tc>
        <w:tc>
          <w:tcPr/>
          <w:p>
            <w:pPr>
              <w:pStyle w:val="Compact"/>
              <w:jc w:val="left"/>
            </w:pPr>
            <w:r>
              <w:t xml:space="preserve">Workflow log — the</w:t>
            </w:r>
            <w:r>
              <w:t xml:space="preserve"> </w:t>
            </w:r>
            <w:r>
              <w:rPr>
                <w:bCs/>
                <w:b/>
              </w:rPr>
              <w:t xml:space="preserve">path</w:t>
            </w:r>
            <w:r>
              <w:t xml:space="preserve"> </w:t>
            </w:r>
            <w:r>
              <w:t xml:space="preserve">a document actually took, not just its status</w:t>
            </w:r>
          </w:p>
        </w:tc>
      </w:tr>
      <w:tr>
        <w:tc>
          <w:tcPr/>
          <w:p>
            <w:pPr>
              <w:pStyle w:val="Compact"/>
              <w:jc w:val="left"/>
            </w:pPr>
            <w:r>
              <w:rPr>
                <w:rStyle w:val="VerbatimChar"/>
              </w:rPr>
              <w:t xml:space="preserve">SE16N</w:t>
            </w:r>
            <w:r>
              <w:t xml:space="preserve"> </w:t>
            </w:r>
            <w:r>
              <w:t xml:space="preserve">on</w:t>
            </w:r>
            <w:r>
              <w:t xml:space="preserve"> </w:t>
            </w:r>
            <w:r>
              <w:rPr>
                <w:rStyle w:val="VerbatimChar"/>
              </w:rPr>
              <w:t xml:space="preserve">BKPF</w:t>
            </w:r>
            <w:r>
              <w:t xml:space="preserve"> </w:t>
            </w:r>
            <w:r>
              <w:t xml:space="preserve">/</w:t>
            </w:r>
            <w:r>
              <w:t xml:space="preserve"> </w:t>
            </w:r>
            <w:r>
              <w:rPr>
                <w:rStyle w:val="VerbatimChar"/>
              </w:rPr>
              <w:t xml:space="preserve">BSEG</w:t>
            </w:r>
          </w:p>
        </w:tc>
        <w:tc>
          <w:tcPr/>
          <w:p>
            <w:pPr>
              <w:pStyle w:val="Compact"/>
              <w:jc w:val="left"/>
            </w:pPr>
            <w:r>
              <w:t xml:space="preserve">Document header and line item tables, when the reports aren’t enough</w:t>
            </w:r>
          </w:p>
        </w:tc>
      </w:tr>
    </w:tbl>
    <w:bookmarkEnd w:id="54"/>
    <w:bookmarkStart w:id="55" w:name="two-dates-and-the-difference-matters"/>
    <w:p>
      <w:pPr>
        <w:pStyle w:val="Heading4"/>
      </w:pPr>
      <w:r>
        <w:t xml:space="preserve">Two dates, and the difference matters</w:t>
      </w:r>
    </w:p>
    <w:p>
      <w:pPr>
        <w:pStyle w:val="FirstParagraph"/>
      </w:pPr>
      <w:r>
        <w:rPr>
          <w:rStyle w:val="VerbatimChar"/>
        </w:rPr>
        <w:t xml:space="preserve">FBL3N</w:t>
      </w:r>
      <w:r>
        <w:t xml:space="preserve">’s selection screen has more than one date field. This matters more than anything else on the screen.</w:t>
      </w:r>
    </w:p>
    <w:p>
      <w:pPr>
        <w:pStyle w:val="BodyText"/>
      </w:pPr>
      <w:r>
        <w:rPr>
          <w:bCs/>
          <w:b/>
        </w:rPr>
        <w:t xml:space="preserve">Posting date</w:t>
      </w:r>
      <w:r>
        <w:t xml:space="preserve"> </w:t>
      </w:r>
      <w:r>
        <w:t xml:space="preserve">is the date the entry hits the ledger. The date the accountant chose.</w:t>
      </w:r>
    </w:p>
    <w:p>
      <w:pPr>
        <w:pStyle w:val="BodyText"/>
      </w:pPr>
      <w:r>
        <w:rPr>
          <w:bCs/>
          <w:b/>
        </w:rPr>
        <w:t xml:space="preserve">Entry date</w:t>
      </w:r>
      <w:r>
        <w:t xml:space="preserve"> </w:t>
      </w:r>
      <w:r>
        <w:t xml:space="preserve">is the date somebody actually typed it.</w:t>
      </w:r>
    </w:p>
    <w:p>
      <w:pPr>
        <w:pStyle w:val="BodyText"/>
      </w:pPr>
      <w:r>
        <w:t xml:space="preserve">These are often different — sometimes by weeks.</w:t>
      </w:r>
    </w:p>
    <w:p>
      <w:pPr>
        <w:pStyle w:val="BodyText"/>
      </w:pPr>
      <w:r>
        <w:rPr>
          <w:bCs/>
          <w:b/>
        </w:rPr>
        <w:t xml:space="preserve">Which one defines your period is a decision you make deliberately. Not a default you accept.</w:t>
      </w:r>
    </w:p>
    <w:p>
      <w:pPr>
        <w:pStyle w:val="BodyText"/>
      </w:pPr>
      <w:r>
        <w:t xml:space="preserve">An entry posted to March and typed in June is a different animal from one posted and typed in March. If your population used posting date, you’ll never see it.</w:t>
      </w:r>
    </w:p>
    <w:bookmarkEnd w:id="55"/>
    <w:bookmarkStart w:id="56" w:name="the-trap-on-fbl3n"/>
    <w:p>
      <w:pPr>
        <w:pStyle w:val="Heading4"/>
      </w:pPr>
      <w:r>
        <w:t xml:space="preserve">The trap on</w:t>
      </w:r>
      <w:r>
        <w:t xml:space="preserve"> </w:t>
      </w:r>
      <w:r>
        <w:rPr>
          <w:rStyle w:val="VerbatimChar"/>
        </w:rPr>
        <w:t xml:space="preserve">FBL3N</w:t>
      </w:r>
    </w:p>
    <w:p>
      <w:pPr>
        <w:pStyle w:val="FirstParagraph"/>
      </w:pPr>
      <w:r>
        <w:rPr>
          <w:rStyle w:val="VerbatimChar"/>
        </w:rPr>
        <w:t xml:space="preserve">FBL3N</w:t>
      </w:r>
      <w:r>
        <w:t xml:space="preserve"> </w:t>
      </w:r>
      <w:r>
        <w:t xml:space="preserve">displays G/L line items. Part 6 of the study guide warns about this, and it’s worth repeating.</w:t>
      </w:r>
    </w:p>
    <w:p>
      <w:pPr>
        <w:pStyle w:val="BodyText"/>
      </w:pPr>
      <w:r>
        <w:rPr>
          <w:bCs/>
          <w:b/>
        </w:rPr>
        <w:t xml:space="preserve">This is not automatically a complete journal-entry population.</w:t>
      </w:r>
    </w:p>
    <w:p>
      <w:pPr>
        <w:pStyle w:val="BodyText"/>
      </w:pPr>
      <w:r>
        <w:t xml:space="preserve">It shows you line items in the accounts you selected.</w:t>
      </w:r>
      <w:r>
        <w:t xml:space="preserve"> </w:t>
      </w:r>
      <w:r>
        <w:rPr>
          <w:bCs/>
          <w:b/>
        </w:rPr>
        <w:t xml:space="preserve">Manual</w:t>
      </w:r>
      <w:r>
        <w:t xml:space="preserve"> </w:t>
      </w:r>
      <w:r>
        <w:t xml:space="preserve">journal entries are identified by</w:t>
      </w:r>
      <w:r>
        <w:t xml:space="preserve"> </w:t>
      </w:r>
      <w:r>
        <w:rPr>
          <w:bCs/>
          <w:b/>
        </w:rPr>
        <w:t xml:space="preserve">document type</w:t>
      </w:r>
      <w:r>
        <w:t xml:space="preserve"> </w:t>
      </w:r>
      <w:r>
        <w:t xml:space="preserve">— and the document types your client uses for manual entries are client-specific configuration.</w:t>
      </w:r>
    </w:p>
    <w:p>
      <w:pPr>
        <w:pStyle w:val="BodyText"/>
      </w:pPr>
      <w:r>
        <w:t xml:space="preserve">You</w:t>
      </w:r>
      <w:r>
        <w:t xml:space="preserve"> </w:t>
      </w:r>
      <w:r>
        <w:rPr>
          <w:bCs/>
          <w:b/>
        </w:rPr>
        <w:t xml:space="preserve">confirm</w:t>
      </w:r>
      <w:r>
        <w:t xml:space="preserve"> </w:t>
      </w:r>
      <w:r>
        <w:t xml:space="preserve">them. You don’t assume them.</w:t>
      </w:r>
    </w:p>
    <w:p>
      <w:pPr>
        <w:pStyle w:val="BodyText"/>
      </w:pPr>
      <w:r>
        <w:t xml:space="preserve">Get that wrong and your population silently leaves out exactly the entries you were looking for.</w:t>
      </w:r>
    </w:p>
    <w:p>
      <w:pPr>
        <w:pStyle w:val="BodyText"/>
      </w:pPr>
      <w:r>
        <w:t xml:space="preserve">When the report isn’t enough, go to the tables:</w:t>
      </w:r>
      <w:r>
        <w:t xml:space="preserve"> </w:t>
      </w:r>
      <w:r>
        <w:rPr>
          <w:rStyle w:val="VerbatimChar"/>
        </w:rPr>
        <w:t xml:space="preserve">SE16N</w:t>
      </w:r>
      <w:r>
        <w:t xml:space="preserve"> </w:t>
      </w:r>
      <w:r>
        <w:t xml:space="preserve">on</w:t>
      </w:r>
      <w:r>
        <w:t xml:space="preserve"> </w:t>
      </w:r>
      <w:r>
        <w:rPr>
          <w:rStyle w:val="VerbatimChar"/>
        </w:rPr>
        <w:t xml:space="preserve">BKPF</w:t>
      </w:r>
      <w:r>
        <w:t xml:space="preserve"> </w:t>
      </w:r>
      <w:r>
        <w:t xml:space="preserve">and</w:t>
      </w:r>
      <w:r>
        <w:t xml:space="preserve"> </w:t>
      </w:r>
      <w:r>
        <w:rPr>
          <w:rStyle w:val="VerbatimChar"/>
        </w:rPr>
        <w:t xml:space="preserve">BSEG</w:t>
      </w:r>
      <w:r>
        <w:t xml:space="preserve">.</w:t>
      </w:r>
    </w:p>
    <w:bookmarkEnd w:id="56"/>
    <w:bookmarkStart w:id="57" w:name="fb03-the-header"/>
    <w:p>
      <w:pPr>
        <w:pStyle w:val="Heading4"/>
      </w:pPr>
      <w:r>
        <w:rPr>
          <w:rStyle w:val="VerbatimChar"/>
        </w:rPr>
        <w:t xml:space="preserve">FB03</w:t>
      </w:r>
      <w:r>
        <w:t xml:space="preserve"> </w:t>
      </w:r>
      <w:r>
        <w:t xml:space="preserve">— the header</w:t>
      </w:r>
    </w:p>
    <w:p>
      <w:pPr>
        <w:pStyle w:val="FirstParagraph"/>
      </w:pPr>
      <w:r>
        <w:t xml:space="preserve">Open one document and read the header. Who entered it. On what date, at what time. What document type. What posting date.</w:t>
      </w:r>
    </w:p>
    <w:bookmarkEnd w:id="57"/>
    <w:bookmarkStart w:id="58" w:name="swi1-the-number-nobody-captures"/>
    <w:p>
      <w:pPr>
        <w:pStyle w:val="Heading4"/>
      </w:pPr>
      <w:r>
        <w:rPr>
          <w:rStyle w:val="VerbatimChar"/>
        </w:rPr>
        <w:t xml:space="preserve">SWI1</w:t>
      </w:r>
      <w:r>
        <w:t xml:space="preserve"> </w:t>
      </w:r>
      <w:r>
        <w:t xml:space="preserve">— the number nobody captures</w:t>
      </w:r>
    </w:p>
    <w:p>
      <w:pPr>
        <w:pStyle w:val="FirstParagraph"/>
      </w:pPr>
      <w:r>
        <w:rPr>
          <w:rStyle w:val="VerbatimChar"/>
        </w:rPr>
        <w:t xml:space="preserve">SWI1</w:t>
      </w:r>
      <w:r>
        <w:t xml:space="preserve"> </w:t>
      </w:r>
      <w:r>
        <w:t xml:space="preserve">traces the workflow. Not the status —</w:t>
      </w:r>
      <w:r>
        <w:t xml:space="preserve"> </w:t>
      </w:r>
      <w:r>
        <w:rPr>
          <w:bCs/>
          <w:b/>
        </w:rPr>
        <w:t xml:space="preserve">the path</w:t>
      </w:r>
      <w:r>
        <w:t xml:space="preserve">.</w:t>
      </w:r>
    </w:p>
    <w:p>
      <w:pPr>
        <w:pStyle w:val="BodyText"/>
      </w:pPr>
      <w:r>
        <w:t xml:space="preserve">And here’s the field everybody forgets.</w:t>
      </w:r>
    </w:p>
    <w:p>
      <w:pPr>
        <w:pStyle w:val="BodyText"/>
      </w:pPr>
      <w:r>
        <w:rPr>
          <w:bCs/>
          <w:b/>
        </w:rPr>
        <w:t xml:space="preserve">The approval timestamp, against the posting timestamp.</w:t>
      </w:r>
    </w:p>
    <w:p>
      <w:pPr>
        <w:pStyle w:val="BodyText"/>
      </w:pPr>
      <w:r>
        <w:t xml:space="preserve">A completed workflow tells you approval happened. It doesn’t tell you approval happened</w:t>
      </w:r>
      <w:r>
        <w:t xml:space="preserve"> </w:t>
      </w:r>
      <w:r>
        <w:rPr>
          <w:bCs/>
          <w:b/>
        </w:rPr>
        <w:t xml:space="preserve">first</w:t>
      </w:r>
      <w:r>
        <w:t xml:space="preserve">.</w:t>
      </w:r>
    </w:p>
    <w:p>
      <w:pPr>
        <w:pStyle w:val="BodyText"/>
      </w:pPr>
      <w:r>
        <w:t xml:space="preserve">An approval that lands after the posting is not a preventive control, whatever the status field says. It’s a record of someone agreeing with something that had already gone through.</w:t>
      </w:r>
    </w:p>
    <w:p>
      <w:pPr>
        <w:pStyle w:val="BodyText"/>
      </w:pPr>
      <w:r>
        <w:rPr>
          <w:bCs/>
          <w:b/>
        </w:rPr>
        <w:t xml:space="preserve">That gap, in minutes, is your evidence that the control operated in the direction it claims to.</w:t>
      </w:r>
    </w:p>
    <w:bookmarkEnd w:id="58"/>
    <w:bookmarkStart w:id="59" w:name="and-the-point-of-the-whole-book"/>
    <w:p>
      <w:pPr>
        <w:pStyle w:val="Heading4"/>
      </w:pPr>
      <w:r>
        <w:t xml:space="preserve">And the point of the whole Book</w:t>
      </w:r>
    </w:p>
    <w:p>
      <w:pPr>
        <w:pStyle w:val="FirstParagraph"/>
      </w:pPr>
      <w:r>
        <w:t xml:space="preserve">Everything above is</w:t>
      </w:r>
      <w:r>
        <w:t xml:space="preserve"> </w:t>
      </w:r>
      <w:r>
        <w:rPr>
          <w:bCs/>
          <w:b/>
        </w:rPr>
        <w:t xml:space="preserve">operating effectiveness</w:t>
      </w:r>
      <w:r>
        <w:t xml:space="preserve"> </w:t>
      </w:r>
      <w:r>
        <w:t xml:space="preserve">— did the entries route.</w:t>
      </w:r>
    </w:p>
    <w:p>
      <w:pPr>
        <w:pStyle w:val="BodyText"/>
      </w:pPr>
      <w:r>
        <w:t xml:space="preserve">Book 3’s failure was in</w:t>
      </w:r>
      <w:r>
        <w:t xml:space="preserve"> </w:t>
      </w:r>
      <w:r>
        <w:rPr>
          <w:bCs/>
          <w:b/>
        </w:rPr>
        <w:t xml:space="preserve">configuration</w:t>
      </w:r>
      <w:r>
        <w:t xml:space="preserve"> </w:t>
      </w:r>
      <w:r>
        <w:t xml:space="preserve">— a threshold field with a zero in the wrong place.</w:t>
      </w:r>
    </w:p>
    <w:p>
      <w:pPr>
        <w:pStyle w:val="BodyText"/>
      </w:pPr>
      <w:r>
        <w:t xml:space="preserve">Testing the entries that routed would never have found it, because the entries that routed were fine.</w:t>
      </w:r>
    </w:p>
    <w:p>
      <w:pPr>
        <w:pStyle w:val="BodyText"/>
      </w:pPr>
      <w:r>
        <w:rPr>
          <w:bCs/>
          <w:b/>
        </w:rPr>
        <w:t xml:space="preserve">On an automated control you test the parameter as well as the population.</w:t>
      </w:r>
      <w:r>
        <w:t xml:space="preserve"> </w:t>
      </w:r>
      <w:r>
        <w:t xml:space="preserve">The parameter test takes five minutes. It isn’t optional, and this Book is what it costs to skip it.</w:t>
      </w:r>
    </w:p>
    <w:p>
      <w:pPr>
        <w:pStyle w:val="BodyText"/>
      </w:pPr>
      <w:r>
        <w:t xml:space="preserve">And one more, from the story:</w:t>
      </w:r>
      <w:r>
        <w:t xml:space="preserve"> </w:t>
      </w:r>
      <w:r>
        <w:rPr>
          <w:bCs/>
          <w:b/>
        </w:rPr>
        <w:t xml:space="preserve">the parameter’s value today is not evidence of its value in March.</w:t>
      </w:r>
      <w:r>
        <w:t xml:space="preserve"> </w:t>
      </w:r>
      <w:r>
        <w:t xml:space="preserve">You need the change history across the period.</w:t>
      </w:r>
    </w:p>
    <w:bookmarkEnd w:id="59"/>
    <w:bookmarkStart w:id="60" w:name="what-youll-produce-on-the-session-2"/>
    <w:p>
      <w:pPr>
        <w:pStyle w:val="Heading4"/>
      </w:pPr>
      <w:r>
        <w:t xml:space="preserve">What you’ll produce on the session</w:t>
      </w:r>
    </w:p>
    <w:p>
      <w:pPr>
        <w:pStyle w:val="FirstParagraph"/>
      </w:pPr>
      <w:r>
        <w:t xml:space="preserve">For one journal entry, the</w:t>
      </w:r>
      <w:r>
        <w:t xml:space="preserve"> </w:t>
      </w:r>
      <w:r>
        <w:rPr>
          <w:bCs/>
          <w:b/>
        </w:rPr>
        <w:t xml:space="preserve">full chain</w:t>
      </w:r>
      <w:r>
        <w:t xml:space="preserve">:</w:t>
      </w:r>
    </w:p>
    <w:p>
      <w:pPr>
        <w:numPr>
          <w:ilvl w:val="0"/>
          <w:numId w:val="1003"/>
        </w:numPr>
        <w:pStyle w:val="Compact"/>
      </w:pPr>
      <w:r>
        <w:t xml:space="preserve">Who prepared it</w:t>
      </w:r>
    </w:p>
    <w:p>
      <w:pPr>
        <w:numPr>
          <w:ilvl w:val="0"/>
          <w:numId w:val="1003"/>
        </w:numPr>
        <w:pStyle w:val="Compact"/>
      </w:pPr>
      <w:r>
        <w:t xml:space="preserve">Whether it routed</w:t>
      </w:r>
    </w:p>
    <w:p>
      <w:pPr>
        <w:numPr>
          <w:ilvl w:val="0"/>
          <w:numId w:val="1003"/>
        </w:numPr>
        <w:pStyle w:val="Compact"/>
      </w:pPr>
      <w:r>
        <w:t xml:space="preserve">Who approved it</w:t>
      </w:r>
    </w:p>
    <w:p>
      <w:pPr>
        <w:numPr>
          <w:ilvl w:val="0"/>
          <w:numId w:val="1003"/>
        </w:numPr>
        <w:pStyle w:val="Compact"/>
      </w:pPr>
      <w:r>
        <w:rPr>
          <w:bCs/>
          <w:b/>
        </w:rPr>
        <w:t xml:space="preserve">The gap between approval timestamp and posting timestamp</w:t>
      </w:r>
    </w:p>
    <w:p>
      <w:pPr>
        <w:pStyle w:val="FirstParagraph"/>
      </w:pPr>
      <w:r>
        <w:t xml:space="preserve">That last number is the one people forget to capture, and it’s the one that shows whether approval preceded posting or merely accompanied it.</w:t>
      </w:r>
    </w:p>
    <w:bookmarkEnd w:id="60"/>
    <w:bookmarkStart w:id="61" w:name="the-question-to-bring-3"/>
    <w:p>
      <w:pPr>
        <w:pStyle w:val="Heading4"/>
      </w:pPr>
      <w:r>
        <w:t xml:space="preserve">The question to bring</w:t>
      </w:r>
    </w:p>
    <w:p>
      <w:pPr>
        <w:pStyle w:val="BlockText"/>
      </w:pPr>
      <w:r>
        <w:t xml:space="preserve">Is the approval threshold enforced by the system, or by a policy? Where did your journal-entry population come from?</w:t>
      </w:r>
    </w:p>
    <w:p>
      <w:pPr>
        <w:pStyle w:val="FirstParagraph"/>
      </w:pPr>
      <w:r>
        <w:t xml:space="preserve">Decide your answer before the session — in Defend It, someone will ask it.</w:t>
      </w:r>
    </w:p>
    <w:bookmarkEnd w:id="61"/>
    <w:bookmarkEnd w:id="62"/>
    <w:bookmarkEnd w:id="63"/>
    <w:bookmarkStart w:id="69" w:name="X6df3cd2a0534dc9ea4eeed0614b774e704fea0a"/>
    <w:p>
      <w:pPr>
        <w:pStyle w:val="Heading2"/>
      </w:pPr>
      <w:r>
        <w:t xml:space="preserve">Session 12 — Sun · Book 24 — The Match That Wasn’t</w:t>
      </w:r>
    </w:p>
    <w:bookmarkStart w:id="68" w:name="book-24-the-match-that-wasnt"/>
    <w:p>
      <w:pPr>
        <w:pStyle w:val="Heading3"/>
      </w:pPr>
      <w:r>
        <w:t xml:space="preserve">Book 24 — The Match That Wasn’t</w:t>
      </w:r>
    </w:p>
    <w:p>
      <w:pPr>
        <w:pStyle w:val="FirstParagraph"/>
      </w:pPr>
      <w:r>
        <w:rPr>
          <w:iCs/>
          <w:i/>
        </w:rPr>
        <w:t xml:space="preserve">Part VII · Two-Way vs. Three-Way Match Configuration Testing</w:t>
      </w:r>
    </w:p>
    <w:p>
      <w:pPr>
        <w:pStyle w:val="BodyText"/>
      </w:pPr>
      <w:r>
        <w:rPr>
          <w:bCs/>
          <w:b/>
        </w:rPr>
        <w:t xml:space="preserve">Scope area: Two-Way vs. Three-Way Match Configuration Testing</w:t>
      </w:r>
    </w:p>
    <w:p>
      <w:pPr>
        <w:pStyle w:val="BodyText"/>
      </w:pPr>
      <w:r>
        <w:t xml:space="preserve">Confirm whether the three-way match (purchase order, goods receipt, invoice) is actually configured and enforced at every plant, not just documented in the control matrix.</w:t>
      </w:r>
    </w:p>
    <w:bookmarkStart w:id="64" w:name="what-to-watch-for-1"/>
    <w:p>
      <w:pPr>
        <w:pStyle w:val="Heading5"/>
      </w:pPr>
      <w:r>
        <w:t xml:space="preserve">What to watch for</w:t>
      </w:r>
    </w:p>
    <w:p>
      <w:pPr>
        <w:pStyle w:val="FirstParagraph"/>
      </w:pPr>
      <w:r>
        <w:t xml:space="preserve">A clean sample proves nothing if the underlying configuration only ever allows a match to occur — test the configuration itself before testing transactions against it, since a setting that cannot fail is not a control.</w:t>
      </w:r>
    </w:p>
    <w:bookmarkEnd w:id="64"/>
    <w:bookmarkStart w:id="65" w:name="evidence-you-will-need-1"/>
    <w:p>
      <w:pPr>
        <w:pStyle w:val="Heading5"/>
      </w:pPr>
      <w:r>
        <w:t xml:space="preserve">Evidence you will need</w:t>
      </w:r>
    </w:p>
    <w:p>
      <w:pPr>
        <w:pStyle w:val="FirstParagraph"/>
      </w:pPr>
      <w:r>
        <w:t xml:space="preserve">The EKPO extract by plant showing which plants are configured for two-way match, the transport/change history for that configuration, and at least one ME23N Purchase Order History screenshot showing the posting-date sequence of PO, goods receipt, and invoice.</w:t>
      </w:r>
    </w:p>
    <w:bookmarkEnd w:id="65"/>
    <w:bookmarkStart w:id="66" w:name="X18ce9bc32099f3a79b8dbf3bc1f90b3b845ac76"/>
    <w:p>
      <w:pPr>
        <w:pStyle w:val="Heading5"/>
      </w:pPr>
      <w:r>
        <w:t xml:space="preserve">Execution steps (as they appear in the app)</w:t>
      </w:r>
    </w:p>
    <w:p>
      <w:pPr>
        <w:pStyle w:val="FirstParagraph"/>
      </w:pPr>
      <w:r>
        <w:rPr>
          <w:bCs/>
          <w:b/>
        </w:rPr>
        <w:t xml:space="preserve">SE16N (SAP GUI):</w:t>
      </w:r>
      <w:r>
        <w:t xml:space="preserve"> </w:t>
      </w:r>
      <w:r>
        <w:t xml:space="preserve">Display table EKPO (purchase order line items) with fields WEPOS (goods receipt indicator) and REPOS (invoice receipt indicator) added via field selection — they are not on the default layout. Filter WEPOS blank to find lines configured for two-way match with no goods receipt expected. Add WERKS (plant) and re-run, since match configuration is set per plant, not company-wide. [Navigation: type SE16N in the command field, enter EKPO, use Change Field Selection to add WEPOS/REPOS to the display, set your date range, execute, then re-run grouped by WERKS.]</w:t>
      </w:r>
    </w:p>
    <w:p>
      <w:pPr>
        <w:pStyle w:val="BodyText"/>
      </w:pPr>
      <w:r>
        <w:rPr>
          <w:bCs/>
          <w:b/>
        </w:rPr>
        <w:t xml:space="preserve">SE01 / STMS (SAP GUI):</w:t>
      </w:r>
      <w:r>
        <w:t xml:space="preserve"> </w:t>
      </w:r>
      <w:r>
        <w:t xml:space="preserve">Pull the transport/change history for the two-way-match configuration to establish when it moved to production. [Navigation: type SE01 or STMS in the command field and review the change/transport log for the relevant configuration table.]</w:t>
      </w:r>
    </w:p>
    <w:p>
      <w:pPr>
        <w:pStyle w:val="BodyText"/>
      </w:pPr>
      <w:r>
        <w:rPr>
          <w:bCs/>
          <w:b/>
        </w:rPr>
        <w:t xml:space="preserve">SE16N (SAP GUI):</w:t>
      </w:r>
      <w:r>
        <w:t xml:space="preserve"> </w:t>
      </w:r>
      <w:r>
        <w:t xml:space="preserve">Display table RSEG (invoice line items) for your test period and select a sample with PO references. [Navigation: type SE16N, enter RSEG, set your date range, execute.]</w:t>
      </w:r>
    </w:p>
    <w:p>
      <w:pPr>
        <w:pStyle w:val="BodyText"/>
      </w:pPr>
      <w:r>
        <w:rPr>
          <w:bCs/>
          <w:b/>
        </w:rPr>
        <w:t xml:space="preserve">ME23N (SAP GUI):</w:t>
      </w:r>
      <w:r>
        <w:t xml:space="preserve"> </w:t>
      </w:r>
      <w:r>
        <w:t xml:space="preserve">Display the purchase order for each sampled invoice and open the Purchase Order History tab — confirm all three documents exist and check the posting order. [Navigation: type ME23N, enter the PO number, open the Purchase Order History tab.]</w:t>
      </w:r>
    </w:p>
    <w:p>
      <w:pPr>
        <w:pStyle w:val="BodyText"/>
      </w:pPr>
      <w:r>
        <w:rPr>
          <w:bCs/>
          <w:b/>
        </w:rPr>
        <w:t xml:space="preserve">MB51 (SAP GUI):</w:t>
      </w:r>
      <w:r>
        <w:t xml:space="preserve"> </w:t>
      </w:r>
      <w:r>
        <w:t xml:space="preserve">Pull the material document list as an independent check that the goods receipt is real. [Navigation: type MB51, enter the material/plant and date range, execute.]</w:t>
      </w:r>
    </w:p>
    <w:bookmarkEnd w:id="66"/>
    <w:bookmarkStart w:id="67" w:name="the-question-to-bring-4"/>
    <w:p>
      <w:pPr>
        <w:pStyle w:val="Heading4"/>
      </w:pPr>
      <w:r>
        <w:t xml:space="preserve">The question to bring</w:t>
      </w:r>
    </w:p>
    <w:p>
      <w:pPr>
        <w:pStyle w:val="BlockText"/>
      </w:pPr>
      <w:r>
        <w:t xml:space="preserve">Is three-way match configured everywhere it should be, or only where you sampled? What does the GR/IR aging tell you?</w:t>
      </w:r>
    </w:p>
    <w:p>
      <w:pPr>
        <w:pStyle w:val="FirstParagraph"/>
      </w:pPr>
      <w:r>
        <w:t xml:space="preserve">Decide your answer before the session — in Defend It, someone will ask it.</w:t>
      </w:r>
    </w:p>
    <w:bookmarkEnd w:id="67"/>
    <w:bookmarkEnd w:id="68"/>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64" w:lineRule="auto"/>
    </w:pPr>
    <w:rPr>
      <w:rFonts w:ascii="Calibri" w:cs="Calibri" w:hAnsi="Calibri"/>
      <w:color w:val="1F2933"/>
      <w:sz w:val="21"/>
      <w:szCs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Normal"/>
    <w:qFormat/>
    <w:pPr>
      <w:keepNext/>
      <w:spacing w:after="80" w:before="0"/>
      <w:pBdr>
        <w:bottom w:color="C87F16" w:space="6" w:sz="18" w:val="single"/>
      </w:pBdr>
    </w:pPr>
    <w:rPr>
      <w:rFonts w:ascii="Cambria" w:hAnsi="Cambria"/>
      <w:b/>
      <w:color w:val="12203A"/>
      <w:sz w:val="40"/>
      <w:szCs w:val="40"/>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Normal"/>
    <w:qFormat/>
    <w:pPr>
      <w:keepNext/>
      <w:spacing w:after="140" w:before="360"/>
      <w:pBdr>
        <w:bottom w:color="D6DEEA" w:space="5" w:sz="8" w:val="single"/>
      </w:pBdr>
      <w:outlineLvl w:val="0"/>
    </w:pPr>
    <w:rPr>
      <w:rFonts w:ascii="Cambria" w:hAnsi="Cambria"/>
      <w:b/>
      <w:color w:val="1B3358"/>
      <w:sz w:val="30"/>
      <w:szCs w:val="30"/>
    </w:rPr>
  </w:style>
  <w:style w:styleId="Heading2" w:type="paragraph">
    <w:name w:val="heading 2"/>
    <w:basedOn w:val="Normal"/>
    <w:next w:val="Normal"/>
    <w:qFormat/>
    <w:pPr>
      <w:keepNext/>
      <w:spacing w:after="100" w:before="280"/>
      <w:outlineLvl w:val="1"/>
    </w:pPr>
    <w:rPr>
      <w:rFonts w:ascii="Cambria" w:hAnsi="Cambria"/>
      <w:b/>
      <w:color w:val="1B3358"/>
      <w:sz w:val="24"/>
      <w:szCs w:val="24"/>
    </w:rPr>
  </w:style>
  <w:style w:styleId="Heading3" w:type="paragraph">
    <w:name w:val="heading 3"/>
    <w:basedOn w:val="Normal"/>
    <w:next w:val="Normal"/>
    <w:qFormat/>
    <w:pPr>
      <w:keepNext/>
      <w:spacing w:after="80" w:before="240"/>
      <w:outlineLvl w:val="2"/>
    </w:pPr>
    <w:rPr>
      <w:rFonts w:ascii="Calibri" w:hAnsi="Calibri"/>
      <w:b/>
      <w:color w:val="C87F16"/>
      <w:sz w:val="21"/>
      <w:szCs w:val="21"/>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Normal"/>
    <w:pPr>
      <w:pBdr>
        <w:left w:color="C87F16" w:space="10" w:sz="18" w:val="single"/>
      </w:pBdr>
      <w:ind w:left="288"/>
      <w:spacing w:after="140" w:before="140"/>
    </w:pPr>
    <w:rPr>
      <w:i/>
      <w:color w:val="5A6B85"/>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styleId="Table" w:type="table">
    <w:name w:val="Table"/>
    <w:basedOn w:val="TableNormal"/>
    <w:uiPriority w:val="59"/>
    <w:pPr>
      <w:spacing w:after="40" w:before="40" w:line="240" w:lineRule="auto"/>
    </w:pPr>
    <w:rPr>
      <w:rFonts w:ascii="Calibri" w:hAnsi="Calibri"/>
      <w:sz w:val="19"/>
      <w:szCs w:val="19"/>
    </w:rPr>
    <w:tblPr>
      <w:tblBorders>
        <w:top w:color="D6DEEA" w:space="0" w:sz="4" w:val="single"/>
        <w:left w:color="auto" w:space="0" w:sz="0" w:val="none"/>
        <w:bottom w:color="D6DEEA" w:space="0" w:sz="4" w:val="single"/>
        <w:right w:color="auto" w:space="0" w:sz="0" w:val="none"/>
        <w:insideH w:color="D6DEEA" w:space="0" w:sz="4" w:val="single"/>
        <w:insideV w:color="auto" w:space="0" w:sz="0" w:val="none"/>
      </w:tblBorders>
      <w:tblCellMar>
        <w:top w:type="dxa" w:w="72"/>
        <w:left w:type="dxa" w:w="108"/>
        <w:bottom w:type="dxa" w:w="72"/>
        <w:right w:type="dxa" w:w="108"/>
      </w:tblCellMar>
    </w:tblPr>
    <w:tblStylePr w:type="firstRow">
      <w:pPr>
        <w:spacing w:after="60" w:before="60"/>
      </w:pPr>
      <w:rPr>
        <w:rFonts w:ascii="Calibri" w:hAnsi="Calibri"/>
        <w:b/>
        <w:color w:val="FFFFFF"/>
        <w:sz w:val="19"/>
      </w:rPr>
      <w:tcPr>
        <w:shd w:color="auto" w:fill="1B3358" w:val="clear"/>
        <w:tcBorders>
          <w:bottom w:color="1B3358" w:space="0" w:sz="4" w:val="single"/>
        </w:tcBorders>
      </w:tcPr>
    </w:tblStylePr>
    <w:tblStylePr w:type="band2Horz">
      <w:tcPr>
        <w:shd w:color="auto" w:fill="F5F8FC" w:val="clear"/>
      </w:tcPr>
    </w:tblStylePr>
    <w:tblStylePr w:type="firstCol">
      <w:rPr>
        <w:b/>
        <w:color w:val="1B3358"/>
      </w:r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2026-10-22T13:13:33Z</dcterms:created>
  <dcterms:modified xsi:type="dcterms:W3CDTF">2026-10-22T13:13:33Z</dcterms:modified>
</cp:coreProperties>
</file>

<file path=docProps/custom.xml><?xml version="1.0" encoding="utf-8"?>
<Properties xmlns="http://schemas.openxmlformats.org/officeDocument/2006/custom-properties" xmlns:vt="http://schemas.openxmlformats.org/officeDocument/2006/docPropsVTypes"/>
</file>