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reading-pack-week-3"/>
    <w:p>
      <w:pPr>
        <w:pStyle w:val="Heading1"/>
      </w:pPr>
      <w:r>
        <w:t xml:space="preserve">Reading Pack — Week 3</w:t>
      </w:r>
    </w:p>
    <w:p>
      <w:pPr>
        <w:pStyle w:val="FirstParagraph"/>
      </w:pPr>
      <w:r>
        <w:rPr>
          <w:iCs/>
          <w:i/>
        </w:rPr>
        <w:t xml:space="preserve">Sessions 9–12 · The Full Sweep · Thornfield Industrial Group</w:t>
      </w:r>
    </w:p>
    <w:bookmarkStart w:id="20" w:name="before-you-start"/>
    <w:p>
      <w:pPr>
        <w:pStyle w:val="Heading2"/>
      </w:pPr>
      <w:r>
        <w:t xml:space="preserve">Before you start</w:t>
      </w:r>
    </w:p>
    <w:p>
      <w:pPr>
        <w:pStyle w:val="FirstParagraph"/>
      </w:pPr>
      <w:r>
        <w:t xml:space="preserve">Week 3 covers the GRC platform, Record to Report, and the midpoint: in session 11 you build the Thornfield Risk &amp; Control Matrix from everything tested so far.</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w:t>
      </w:r>
    </w:p>
    <w:p>
      <w:pPr>
        <w:pStyle w:val="BodyText"/>
      </w:pPr>
      <w:r>
        <w:rPr>
          <w:bCs/>
          <w:b/>
        </w:rPr>
        <w:t xml:space="preserve">Graded work this week:</w:t>
      </w:r>
    </w:p>
    <w:p>
      <w:pPr>
        <w:numPr>
          <w:ilvl w:val="0"/>
          <w:numId w:val="1001"/>
        </w:numPr>
        <w:pStyle w:val="Compact"/>
      </w:pPr>
      <w:r>
        <w:t xml:space="preserve">Session 11: Midpoint RCM — every trainee drafts the Thornfield Risk &amp; Control Matrix</w:t>
      </w:r>
    </w:p>
    <w:bookmarkEnd w:id="20"/>
    <w:bookmarkStart w:id="32" w:name="X6bb29a1d1a9e1ed52f0a22a00b04756d2bac8aa"/>
    <w:p>
      <w:pPr>
        <w:pStyle w:val="Heading2"/>
      </w:pPr>
      <w:r>
        <w:t xml:space="preserve">Session 9 — Tue · Book 14 — The Rule That Never Fired + Book 23 — The Job That Stopped Running</w:t>
      </w:r>
    </w:p>
    <w:bookmarkStart w:id="26" w:name="book-14-the-rule-that-never-fired"/>
    <w:p>
      <w:pPr>
        <w:pStyle w:val="Heading3"/>
      </w:pPr>
      <w:r>
        <w:t xml:space="preserve">Book 14 — The Rule That Never Fired</w:t>
      </w:r>
    </w:p>
    <w:p>
      <w:pPr>
        <w:pStyle w:val="FirstParagraph"/>
      </w:pPr>
      <w:r>
        <w:rPr>
          <w:iCs/>
          <w:i/>
        </w:rPr>
        <w:t xml:space="preserve">Part IV · GRC Process Control (CCM) Testing</w:t>
      </w:r>
    </w:p>
    <w:p>
      <w:pPr>
        <w:pStyle w:val="BodyText"/>
      </w:pPr>
      <w:r>
        <w:rPr>
          <w:bCs/>
          <w:b/>
        </w:rPr>
        <w:t xml:space="preserve">GRC platform · Process Control</w:t>
      </w:r>
      <w:r>
        <w:t xml:space="preserve"> </w:t>
      </w:r>
      <w:r>
        <w:rPr>
          <w:iCs/>
          <w:i/>
        </w:rPr>
        <w:t xml:space="preserve">(anchor — covered at depth on the session)</w:t>
      </w:r>
    </w:p>
    <w:p>
      <w:pPr>
        <w:pStyle w:val="BodyText"/>
      </w:pPr>
      <w:r>
        <w:t xml:space="preserve">You met</w:t>
      </w:r>
      <w:r>
        <w:t xml:space="preserve"> </w:t>
      </w:r>
      <w:r>
        <w:rPr>
          <w:bCs/>
          <w:b/>
        </w:rPr>
        <w:t xml:space="preserve">GRC Access Control</w:t>
      </w:r>
      <w:r>
        <w:t xml:space="preserve"> </w:t>
      </w:r>
      <w:r>
        <w:t xml:space="preserve">in Part I — the module that governs who can do what.</w:t>
      </w:r>
      <w:r>
        <w:t xml:space="preserve"> </w:t>
      </w:r>
      <w:r>
        <w:rPr>
          <w:bCs/>
          <w:b/>
        </w:rPr>
        <w:t xml:space="preserve">GRC Process Control</w:t>
      </w:r>
      <w:r>
        <w:t xml:space="preserve"> </w:t>
      </w:r>
      <w:r>
        <w:t xml:space="preserve">is its sibling, and it does something different: it automates the monitoring of controls themselves.</w:t>
      </w:r>
    </w:p>
    <w:p>
      <w:pPr>
        <w:pStyle w:val="BodyText"/>
      </w:pPr>
      <w:r>
        <w:t xml:space="preserve">You define a</w:t>
      </w:r>
      <w:r>
        <w:t xml:space="preserve"> </w:t>
      </w:r>
      <w:r>
        <w:rPr>
          <w:bCs/>
          <w:b/>
        </w:rPr>
        <w:t xml:space="preserve">business rule</w:t>
      </w:r>
      <w:r>
        <w:t xml:space="preserve"> </w:t>
      </w:r>
      <w:r>
        <w:t xml:space="preserve">— a query with a condition attached.</w:t>
      </w:r>
      <w:r>
        <w:t xml:space="preserve"> </w:t>
      </w:r>
      <w:r>
        <w:rPr>
          <w:iCs/>
          <w:i/>
        </w:rPr>
        <w:t xml:space="preserve">“Show me every vendor record where the bank details changed within seven days of a payment.”</w:t>
      </w:r>
      <w:r>
        <w:t xml:space="preserve"> </w:t>
      </w:r>
      <w:r>
        <w:t xml:space="preserve">It runs on a schedule, evaluates the data, and raises exceptions for someone to work.</w:t>
      </w:r>
    </w:p>
    <w:p>
      <w:pPr>
        <w:pStyle w:val="BodyText"/>
      </w:pPr>
      <w:r>
        <w:t xml:space="preserve">It’s genuinely good technology. And it carries a subtle risk:</w:t>
      </w:r>
      <w:r>
        <w:t xml:space="preserve"> </w:t>
      </w:r>
      <w:r>
        <w:rPr>
          <w:bCs/>
          <w:b/>
        </w:rPr>
        <w:t xml:space="preserve">the organisation stops looking, because the machine is looking.</w:t>
      </w:r>
    </w:p>
    <w:p>
      <w:pPr>
        <w:pStyle w:val="BodyText"/>
      </w:pPr>
      <w:r>
        <w:t xml:space="preserve">At Thornfield, a rule’s data source changed. From that day it evaluated an empty population and returned clean. Six weeks of “no exceptions,” all meaningless. Nobody noticed, because a machine that finds nothing and a machine that isn’t checking produce identical output.</w:t>
      </w:r>
    </w:p>
    <w:p>
      <w:pPr>
        <w:pStyle w:val="BodyText"/>
      </w:pPr>
      <w:r>
        <w:rPr>
          <w:bCs/>
          <w:b/>
        </w:rPr>
        <w:t xml:space="preserve">Remember:</w:t>
      </w:r>
      <w:r>
        <w:t xml:space="preserve"> </w:t>
      </w:r>
      <w:r>
        <w:t xml:space="preserve">you’re not testing whether the report is empty. You’re testing whether it’s</w:t>
      </w:r>
      <w:r>
        <w:t xml:space="preserve"> </w:t>
      </w:r>
      <w:r>
        <w:rPr>
          <w:bCs/>
          <w:b/>
        </w:rPr>
        <w:t xml:space="preserve">capable of not being empty</w:t>
      </w:r>
      <w:r>
        <w:t xml:space="preserve">.</w:t>
      </w:r>
    </w:p>
    <w:bookmarkStart w:id="21" w:name="before-the-demo-lab"/>
    <w:p>
      <w:pPr>
        <w:pStyle w:val="Heading4"/>
      </w:pPr>
      <w:r>
        <w:t xml:space="preserve">Before the Demo Lab</w:t>
      </w:r>
    </w:p>
    <w:p>
      <w:pPr>
        <w:pStyle w:val="FirstParagraph"/>
      </w:pPr>
      <w:r>
        <w:rPr>
          <w:bCs/>
          <w:b/>
        </w:rPr>
        <w:t xml:space="preserve">The question:</w:t>
      </w:r>
      <w:r>
        <w:t xml:space="preserve"> </w:t>
      </w:r>
      <w:r>
        <w:t xml:space="preserve">is the monitoring rule actually monitoring anything?</w:t>
      </w:r>
    </w:p>
    <w:bookmarkEnd w:id="21"/>
    <w:bookmarkStart w:id="22" w:name="the-screens"/>
    <w:p>
      <w:pPr>
        <w:pStyle w:val="Heading4"/>
      </w:pPr>
      <w:r>
        <w:t xml:space="preserve">The screens</w:t>
      </w:r>
    </w:p>
    <w:tbl>
      <w:tblPr>
        <w:tblStyle w:val="Table"/>
        <w:tblW w:type="pct" w:w="4925"/>
        <w:tblLook w:firstRow="1" w:lastRow="0" w:firstColumn="0" w:lastColumn="0" w:noHBand="0" w:noVBand="0" w:val="0020"/>
        <w:jc w:val="start"/>
      </w:tblPr>
      <w:tblGrid>
        <w:gridCol w:w="3156"/>
        <w:gridCol w:w="4644"/>
      </w:tblGrid>
      <w:tr>
        <w:trPr>
          <w:tblHeader w:val="true"/>
        </w:trPr>
        <w:tc>
          <w:tcPr/>
          <w:p>
            <w:pPr>
              <w:pStyle w:val="Compact"/>
              <w:jc w:val="left"/>
            </w:pPr>
            <w:r>
              <w:rPr>
                <w:bCs/>
                <w:b/>
              </w:rPr>
              <w:t xml:space="preserve">Screen</w:t>
            </w:r>
          </w:p>
        </w:tc>
        <w:tc>
          <w:tcPr/>
          <w:p>
            <w:pPr>
              <w:pStyle w:val="Compact"/>
              <w:jc w:val="left"/>
            </w:pPr>
            <w:r>
              <w:rPr>
                <w:bCs/>
                <w:b/>
              </w:rPr>
              <w:t xml:space="preserve">What it’s for</w:t>
            </w:r>
          </w:p>
        </w:tc>
      </w:tr>
      <w:tr>
        <w:tc>
          <w:tcPr/>
          <w:p>
            <w:pPr>
              <w:pStyle w:val="Compact"/>
              <w:jc w:val="left"/>
            </w:pPr>
            <w:r>
              <w:rPr>
                <w:bCs/>
                <w:b/>
              </w:rPr>
              <w:t xml:space="preserve">GRC Process Control — business rule definition</w:t>
            </w:r>
          </w:p>
        </w:tc>
        <w:tc>
          <w:tcPr/>
          <w:p>
            <w:pPr>
              <w:pStyle w:val="Compact"/>
              <w:jc w:val="left"/>
            </w:pPr>
            <w:r>
              <w:t xml:space="preserve">What the rule evaluates: data source, filter condition, deficiency criteria</w:t>
            </w:r>
          </w:p>
        </w:tc>
      </w:tr>
      <w:tr>
        <w:tc>
          <w:tcPr/>
          <w:p>
            <w:pPr>
              <w:pStyle w:val="Compact"/>
              <w:jc w:val="left"/>
            </w:pPr>
            <w:r>
              <w:rPr>
                <w:bCs/>
                <w:b/>
              </w:rPr>
              <w:t xml:space="preserve">GRC Process Control — execution history</w:t>
            </w:r>
          </w:p>
        </w:tc>
        <w:tc>
          <w:tcPr/>
          <w:p>
            <w:pPr>
              <w:pStyle w:val="Compact"/>
              <w:jc w:val="left"/>
            </w:pPr>
            <w:r>
              <w:t xml:space="preserve">Did it run, when, with what result</w:t>
            </w:r>
          </w:p>
        </w:tc>
      </w:tr>
      <w:tr>
        <w:tc>
          <w:tcPr/>
          <w:p>
            <w:pPr>
              <w:pStyle w:val="Compact"/>
              <w:jc w:val="left"/>
            </w:pPr>
            <w:r>
              <w:rPr>
                <w:bCs/>
                <w:b/>
              </w:rPr>
              <w:t xml:space="preserve">Rule change history</w:t>
            </w:r>
          </w:p>
        </w:tc>
        <w:tc>
          <w:tcPr/>
          <w:p>
            <w:pPr>
              <w:pStyle w:val="Compact"/>
              <w:jc w:val="left"/>
            </w:pPr>
            <w:r>
              <w:t xml:space="preserve">When was the definition last modified, and by whom</w:t>
            </w:r>
          </w:p>
        </w:tc>
      </w:tr>
      <w:tr>
        <w:tc>
          <w:tcPr/>
          <w:p>
            <w:pPr>
              <w:pStyle w:val="Compact"/>
              <w:jc w:val="left"/>
            </w:pPr>
            <w:r>
              <w:rPr>
                <w:rStyle w:val="VerbatimChar"/>
              </w:rPr>
              <w:t xml:space="preserve">SM37</w:t>
            </w:r>
            <w:r>
              <w:t xml:space="preserve"> </w:t>
            </w:r>
            <w:r>
              <w:rPr>
                <w:iCs/>
                <w:i/>
              </w:rPr>
              <w:t xml:space="preserve">(fallback)</w:t>
            </w:r>
          </w:p>
        </w:tc>
        <w:tc>
          <w:tcPr/>
          <w:p>
            <w:pPr>
              <w:pStyle w:val="Compact"/>
              <w:jc w:val="left"/>
            </w:pPr>
            <w:r>
              <w:t xml:space="preserve">Job execution history, if this environment has no Process Control</w:t>
            </w:r>
          </w:p>
        </w:tc>
      </w:tr>
      <w:tr>
        <w:tc>
          <w:tcPr/>
          <w:p>
            <w:pPr>
              <w:pStyle w:val="Compact"/>
              <w:jc w:val="left"/>
            </w:pPr>
            <w:r>
              <w:rPr>
                <w:rStyle w:val="VerbatimChar"/>
              </w:rPr>
              <w:t xml:space="preserve">SE16N</w:t>
            </w:r>
            <w:r>
              <w:t xml:space="preserve"> </w:t>
            </w:r>
            <w:r>
              <w:t xml:space="preserve">with change documents</w:t>
            </w:r>
            <w:r>
              <w:t xml:space="preserve"> </w:t>
            </w:r>
            <w:r>
              <w:rPr>
                <w:iCs/>
                <w:i/>
              </w:rPr>
              <w:t xml:space="preserve">(fallback)</w:t>
            </w:r>
          </w:p>
        </w:tc>
        <w:tc>
          <w:tcPr/>
          <w:p>
            <w:pPr>
              <w:pStyle w:val="Compact"/>
              <w:jc w:val="left"/>
            </w:pPr>
            <w:r>
              <w:t xml:space="preserve">When the underlying configuration was last changed</w:t>
            </w:r>
          </w:p>
        </w:tc>
      </w:tr>
    </w:tbl>
    <w:p>
      <w:pPr>
        <w:pStyle w:val="BodyText"/>
      </w:pPr>
      <w:r>
        <w:rPr>
          <w:bCs/>
          <w:b/>
        </w:rPr>
        <w:t xml:space="preserve">If your training environment has no GRC Process Control</w:t>
      </w:r>
      <w:r>
        <w:t xml:space="preserve">, the facilitator will show you the same three facts using</w:t>
      </w:r>
      <w:r>
        <w:t xml:space="preserve"> </w:t>
      </w:r>
      <w:r>
        <w:rPr>
          <w:rStyle w:val="VerbatimChar"/>
        </w:rPr>
        <w:t xml:space="preserve">SM37</w:t>
      </w:r>
      <w:r>
        <w:t xml:space="preserve"> </w:t>
      </w:r>
      <w:r>
        <w:t xml:space="preserve">and change documents. That substitution is itself the lesson:</w:t>
      </w:r>
      <w:r>
        <w:t xml:space="preserve"> </w:t>
      </w:r>
      <w:r>
        <w:rPr>
          <w:bCs/>
          <w:b/>
        </w:rPr>
        <w:t xml:space="preserve">the tool changes at every client. The three questions don’t.</w:t>
      </w:r>
    </w:p>
    <w:bookmarkEnd w:id="22"/>
    <w:bookmarkStart w:id="23" w:name="Xa4b9e4990abd9c8f2ead6911161e0af083c0688"/>
    <w:p>
      <w:pPr>
        <w:pStyle w:val="Heading4"/>
      </w:pPr>
      <w:r>
        <w:t xml:space="preserve">Three facts. That’s all this Book asks for</w:t>
      </w:r>
    </w:p>
    <w:p>
      <w:pPr>
        <w:pStyle w:val="FirstParagraph"/>
      </w:pPr>
      <w:r>
        <w:t xml:space="preserve">If you can find these three for one rule, you can test any automated monitoring rule on any platform ever built.</w:t>
      </w:r>
    </w:p>
    <w:p>
      <w:pPr>
        <w:pStyle w:val="BodyText"/>
      </w:pPr>
      <w:r>
        <w:rPr>
          <w:bCs/>
          <w:b/>
        </w:rPr>
        <w:t xml:space="preserve">Fact one — what does it actually evaluate?</w:t>
      </w:r>
    </w:p>
    <w:p>
      <w:pPr>
        <w:pStyle w:val="BodyText"/>
      </w:pPr>
      <w:r>
        <w:t xml:space="preserve">Open the rule definition. Read the data source, the filter condition, and the criteria that decide what counts as a deficiency.</w:t>
      </w:r>
      <w:r>
        <w:t xml:space="preserve"> </w:t>
      </w:r>
      <w:r>
        <w:rPr>
          <w:bCs/>
          <w:b/>
        </w:rPr>
        <w:t xml:space="preserve">Read the condition out loud.</w:t>
      </w:r>
    </w:p>
    <w:p>
      <w:pPr>
        <w:pStyle w:val="BodyText"/>
      </w:pPr>
      <w:r>
        <w:t xml:space="preserve">Then compare it with what the control</w:t>
      </w:r>
      <w:r>
        <w:t xml:space="preserve"> </w:t>
      </w:r>
      <w:r>
        <w:rPr>
          <w:bCs/>
          <w:b/>
        </w:rPr>
        <w:t xml:space="preserve">description</w:t>
      </w:r>
      <w:r>
        <w:t xml:space="preserve"> </w:t>
      </w:r>
      <w:r>
        <w:t xml:space="preserve">claims it does.</w:t>
      </w:r>
    </w:p>
    <w:p>
      <w:pPr>
        <w:pStyle w:val="BodyText"/>
      </w:pPr>
      <w:r>
        <w:t xml:space="preserve">In Book 14, the description said the rule monitored vendor bank detail changes near payment runs. Read the condition and check whether it does.</w:t>
      </w:r>
    </w:p>
    <w:p>
      <w:pPr>
        <w:pStyle w:val="BodyText"/>
      </w:pPr>
      <w:r>
        <w:rPr>
          <w:bCs/>
          <w:b/>
        </w:rPr>
        <w:t xml:space="preserve">A control description is a claim. The rule definition is the fact. When they disagree, the rule wins — and the description is your finding.</w:t>
      </w:r>
    </w:p>
    <w:p>
      <w:pPr>
        <w:pStyle w:val="BodyText"/>
      </w:pPr>
      <w:r>
        <w:rPr>
          <w:bCs/>
          <w:b/>
        </w:rPr>
        <w:t xml:space="preserve">Fact two — when did it last run?</w:t>
      </w:r>
    </w:p>
    <w:p>
      <w:pPr>
        <w:pStyle w:val="BodyText"/>
      </w:pPr>
      <w:r>
        <w:t xml:space="preserve">Scheduled is not the same as executed.</w:t>
      </w:r>
    </w:p>
    <w:p>
      <w:pPr>
        <w:pStyle w:val="BodyText"/>
      </w:pPr>
      <w:r>
        <w:t xml:space="preserve">A rule can sit scheduled and never fire — a scheduling change, a failed job, a deactivated data source.</w:t>
      </w:r>
    </w:p>
    <w:p>
      <w:pPr>
        <w:pStyle w:val="BodyText"/>
      </w:pPr>
      <w:r>
        <w:rPr>
          <w:bCs/>
          <w:b/>
        </w:rPr>
        <w:t xml:space="preserve">Six weeks of “no exceptions” and six weeks of “didn’t run” produce the same silence.</w:t>
      </w:r>
      <w:r>
        <w:t xml:space="preserve"> </w:t>
      </w:r>
      <w:r>
        <w:t xml:space="preserve">Only the execution history tells them apart.</w:t>
      </w:r>
    </w:p>
    <w:p>
      <w:pPr>
        <w:pStyle w:val="BodyText"/>
      </w:pPr>
      <w:r>
        <w:rPr>
          <w:bCs/>
          <w:b/>
        </w:rPr>
        <w:t xml:space="preserve">Fact three — when was it last changed?</w:t>
      </w:r>
    </w:p>
    <w:p>
      <w:pPr>
        <w:pStyle w:val="BodyText"/>
      </w:pPr>
      <w:r>
        <w:t xml:space="preserve">The one nobody thinks to look for.</w:t>
      </w:r>
    </w:p>
    <w:p>
      <w:pPr>
        <w:pStyle w:val="BodyText"/>
      </w:pPr>
      <w:r>
        <w:t xml:space="preserve">A rule that was correct all year and modified in November is</w:t>
      </w:r>
      <w:r>
        <w:t xml:space="preserve"> </w:t>
      </w:r>
      <w:r>
        <w:rPr>
          <w:bCs/>
          <w:b/>
        </w:rPr>
        <w:t xml:space="preserve">two different controls</w:t>
      </w:r>
      <w:r>
        <w:t xml:space="preserve">. Your conclusion has to cover both periods separately.</w:t>
      </w:r>
    </w:p>
    <w:bookmarkEnd w:id="23"/>
    <w:bookmarkStart w:id="24" w:name="the-thing-no-screen-shows-you"/>
    <w:p>
      <w:pPr>
        <w:pStyle w:val="Heading4"/>
      </w:pPr>
      <w:r>
        <w:t xml:space="preserve">The thing no screen shows you</w:t>
      </w:r>
    </w:p>
    <w:p>
      <w:pPr>
        <w:pStyle w:val="FirstParagraph"/>
      </w:pPr>
      <w:r>
        <w:rPr>
          <w:bCs/>
          <w:b/>
        </w:rPr>
        <w:t xml:space="preserve">A clean result is only evidence if you have established the control was capable of producing a dirty one.</w:t>
      </w:r>
    </w:p>
    <w:p>
      <w:pPr>
        <w:pStyle w:val="BodyText"/>
      </w:pPr>
      <w:r>
        <w:t xml:space="preserve">The strongest way to establish that — and the one juniors never think of — is to go and</w:t>
      </w:r>
      <w:r>
        <w:t xml:space="preserve"> </w:t>
      </w:r>
      <w:r>
        <w:rPr>
          <w:bCs/>
          <w:b/>
        </w:rPr>
        <w:t xml:space="preserve">find a transaction that meets the rule’s condition, independently</w:t>
      </w:r>
      <w:r>
        <w:t xml:space="preserve">. Then confirm the rule flagged it.</w:t>
      </w:r>
    </w:p>
    <w:p>
      <w:pPr>
        <w:pStyle w:val="BodyText"/>
      </w:pPr>
      <w:r>
        <w:t xml:space="preserve">You are not testing whether the report is empty.</w:t>
      </w:r>
      <w:r>
        <w:t xml:space="preserve"> </w:t>
      </w:r>
      <w:r>
        <w:rPr>
          <w:bCs/>
          <w:b/>
        </w:rPr>
        <w:t xml:space="preserve">You are testing whether the report is capable of not being empty.</w:t>
      </w:r>
    </w:p>
    <w:p>
      <w:pPr>
        <w:pStyle w:val="BodyText"/>
      </w:pPr>
      <w:r>
        <w:t xml:space="preserve">That’s a different test. It’s the one that would have caught Book 14 in week one instead of week six.</w:t>
      </w:r>
    </w:p>
    <w:bookmarkEnd w:id="24"/>
    <w:bookmarkStart w:id="25" w:name="what-youll-produce-on-the-session"/>
    <w:p>
      <w:pPr>
        <w:pStyle w:val="Heading4"/>
      </w:pPr>
      <w:r>
        <w:t xml:space="preserve">What you’ll produce on the session</w:t>
      </w:r>
    </w:p>
    <w:p>
      <w:pPr>
        <w:pStyle w:val="FirstParagraph"/>
      </w:pPr>
      <w:r>
        <w:t xml:space="preserve">For one rule, in your own words:</w:t>
      </w:r>
    </w:p>
    <w:p>
      <w:pPr>
        <w:numPr>
          <w:ilvl w:val="0"/>
          <w:numId w:val="1002"/>
        </w:numPr>
        <w:pStyle w:val="Compact"/>
      </w:pPr>
      <w:r>
        <w:t xml:space="preserve">What it evaluates</w:t>
      </w:r>
    </w:p>
    <w:p>
      <w:pPr>
        <w:numPr>
          <w:ilvl w:val="0"/>
          <w:numId w:val="1002"/>
        </w:numPr>
        <w:pStyle w:val="Compact"/>
      </w:pPr>
      <w:r>
        <w:t xml:space="preserve">When it last ran</w:t>
      </w:r>
    </w:p>
    <w:p>
      <w:pPr>
        <w:numPr>
          <w:ilvl w:val="0"/>
          <w:numId w:val="1002"/>
        </w:numPr>
        <w:pStyle w:val="Compact"/>
      </w:pPr>
      <w:r>
        <w:t xml:space="preserve">When it was last changed</w:t>
      </w:r>
    </w:p>
    <w:bookmarkEnd w:id="25"/>
    <w:bookmarkEnd w:id="26"/>
    <w:bookmarkStart w:id="31" w:name="book-23-the-job-that-stopped-running"/>
    <w:p>
      <w:pPr>
        <w:pStyle w:val="Heading3"/>
      </w:pPr>
      <w:r>
        <w:t xml:space="preserve">Book 23 — The Job That Stopped Running</w:t>
      </w:r>
    </w:p>
    <w:p>
      <w:pPr>
        <w:pStyle w:val="FirstParagraph"/>
      </w:pPr>
      <w:r>
        <w:rPr>
          <w:iCs/>
          <w:i/>
        </w:rPr>
        <w:t xml:space="preserve">Part VII · Batch Job Monitoring Testing</w:t>
      </w:r>
    </w:p>
    <w:p>
      <w:pPr>
        <w:pStyle w:val="BodyText"/>
      </w:pPr>
      <w:r>
        <w:rPr>
          <w:bCs/>
          <w:b/>
        </w:rPr>
        <w:t xml:space="preserve">Scope area: Batch Job Monitoring Testing</w:t>
      </w:r>
    </w:p>
    <w:p>
      <w:pPr>
        <w:pStyle w:val="BodyText"/>
      </w:pPr>
      <w:r>
        <w:t xml:space="preserve">Confirm that scheduled batch jobs are actually monitored for failure — not just the backup job — by testing execution history against the expected schedule.</w:t>
      </w:r>
    </w:p>
    <w:bookmarkStart w:id="27" w:name="what-to-watch-for"/>
    <w:p>
      <w:pPr>
        <w:pStyle w:val="Heading5"/>
      </w:pPr>
      <w:r>
        <w:t xml:space="preserve">What to watch for</w:t>
      </w:r>
    </w:p>
    <w:p>
      <w:pPr>
        <w:pStyle w:val="FirstParagraph"/>
      </w:pPr>
      <w:r>
        <w:t xml:space="preserve">Leaving Cancelled unticked in SM37 will show zero failures — confidently and wrongly. And "finished" is not the same as "worked": a job that completed having processed zero records still shows as finished.</w:t>
      </w:r>
    </w:p>
    <w:bookmarkEnd w:id="27"/>
    <w:bookmarkStart w:id="28" w:name="evidence-you-will-need"/>
    <w:p>
      <w:pPr>
        <w:pStyle w:val="Heading5"/>
      </w:pPr>
      <w:r>
        <w:t xml:space="preserve">Evidence you will need</w:t>
      </w:r>
    </w:p>
    <w:p>
      <w:pPr>
        <w:pStyle w:val="FirstParagraph"/>
      </w:pPr>
      <w:r>
        <w:t xml:space="preserve">The documented expected execution count written down before running SM37, the SM37 selection screen and result with Cancelled included, one job log and step list, and a schedule-versus-actual comparison showing any missing dates.</w:t>
      </w:r>
    </w:p>
    <w:bookmarkEnd w:id="28"/>
    <w:bookmarkStart w:id="29" w:name="X1c89ceffc96a65f9f6804de866e3ed6ca110b37"/>
    <w:p>
      <w:pPr>
        <w:pStyle w:val="Heading5"/>
      </w:pPr>
      <w:r>
        <w:t xml:space="preserve">Execution steps (as they appear in the app)</w:t>
      </w:r>
    </w:p>
    <w:p>
      <w:pPr>
        <w:pStyle w:val="FirstParagraph"/>
      </w:pPr>
      <w:r>
        <w:rPr>
          <w:bCs/>
          <w:b/>
        </w:rPr>
        <w:t xml:space="preserve">SM37 (SAP GUI):</w:t>
      </w:r>
      <w:r>
        <w:t xml:space="preserve"> </w:t>
      </w:r>
      <w:r>
        <w:t xml:space="preserve">Run with job name and user both set to wildcard for your date range, with every status box ticked including Cancelled. [Navigation: type SM37 in the command field, set Job name = *, User name = *, set your date range, tick all status checkboxes, execute.]</w:t>
      </w:r>
    </w:p>
    <w:p>
      <w:pPr>
        <w:pStyle w:val="BodyText"/>
      </w:pPr>
      <w:r>
        <w:rPr>
          <w:bCs/>
          <w:b/>
        </w:rPr>
        <w:t xml:space="preserve">SM37 log (SAP GUI):</w:t>
      </w:r>
      <w:r>
        <w:t xml:space="preserve"> </w:t>
      </w:r>
      <w:r>
        <w:t xml:space="preserve">Sort the result by status and record the count of cancelled jobs. Open one cancelled job's log to read the failure reason, then open its Step detail to see the program it runs.</w:t>
      </w:r>
    </w:p>
    <w:p>
      <w:pPr>
        <w:pStyle w:val="BodyText"/>
      </w:pPr>
      <w:r>
        <w:rPr>
          <w:bCs/>
          <w:b/>
        </w:rPr>
        <w:t xml:space="preserve">SM36 (SAP GUI):</w:t>
      </w:r>
      <w:r>
        <w:t xml:space="preserve"> </w:t>
      </w:r>
      <w:r>
        <w:t xml:space="preserve">Display the job definition to confirm expected scheduling frequency, and compare against what actually appeared in SM37 — a job never released produces no row at all. [Navigation: type SM36 in the command field, locate the job definition.]</w:t>
      </w:r>
    </w:p>
    <w:bookmarkEnd w:id="29"/>
    <w:bookmarkStart w:id="30" w:name="the-question-to-bring"/>
    <w:p>
      <w:pPr>
        <w:pStyle w:val="Heading4"/>
      </w:pPr>
      <w:r>
        <w:t xml:space="preserve">The question to bring</w:t>
      </w:r>
    </w:p>
    <w:p>
      <w:pPr>
        <w:pStyle w:val="BlockText"/>
      </w:pPr>
      <w:r>
        <w:t xml:space="preserve">The rule is configured correctly — so why do you say it failed? Show me the SM37 history with cancelled runs included.</w:t>
      </w:r>
    </w:p>
    <w:p>
      <w:pPr>
        <w:pStyle w:val="FirstParagraph"/>
      </w:pPr>
      <w:r>
        <w:t xml:space="preserve">Decide your answer before the session — in Defend It, someone will ask it.</w:t>
      </w:r>
    </w:p>
    <w:bookmarkEnd w:id="30"/>
    <w:bookmarkEnd w:id="31"/>
    <w:bookmarkEnd w:id="32"/>
    <w:bookmarkStart w:id="51" w:name="session-10-thu-book-3-the-approval-limit"/>
    <w:p>
      <w:pPr>
        <w:pStyle w:val="Heading2"/>
      </w:pPr>
      <w:r>
        <w:t xml:space="preserve">Session 10 — Thu · Book 3 — The Approval Limit</w:t>
      </w:r>
    </w:p>
    <w:bookmarkStart w:id="50" w:name="book-3-the-approval-limit"/>
    <w:p>
      <w:pPr>
        <w:pStyle w:val="Heading3"/>
      </w:pPr>
      <w:r>
        <w:t xml:space="preserve">Book 3 — The Approval Limit</w:t>
      </w:r>
    </w:p>
    <w:p>
      <w:pPr>
        <w:pStyle w:val="FirstParagraph"/>
      </w:pPr>
      <w:r>
        <w:rPr>
          <w:iCs/>
          <w:i/>
        </w:rPr>
        <w:t xml:space="preserve">Part III · Manual Journal Entry Review Testing</w:t>
      </w:r>
    </w:p>
    <w:p>
      <w:pPr>
        <w:pStyle w:val="BodyText"/>
      </w:pPr>
      <w:r>
        <w:rPr>
          <w:bCs/>
          <w:b/>
        </w:rPr>
        <w:t xml:space="preserve">Scope area:</w:t>
      </w:r>
      <w:r>
        <w:t xml:space="preserve"> </w:t>
      </w:r>
      <w:r>
        <w:t xml:space="preserve">Record to report · journal entries</w:t>
      </w:r>
      <w:r>
        <w:t xml:space="preserve"> </w:t>
      </w:r>
      <w:r>
        <w:rPr>
          <w:bCs/>
          <w:b/>
        </w:rPr>
        <w:t xml:space="preserve">Read this one in full.</w:t>
      </w:r>
    </w:p>
    <w:bookmarkStart w:id="33" w:name="the-control-that-looked-perfect"/>
    <w:p>
      <w:pPr>
        <w:pStyle w:val="Heading4"/>
      </w:pPr>
      <w:r>
        <w:t xml:space="preserve">The control that looked perfect</w:t>
      </w:r>
    </w:p>
    <w:p>
      <w:pPr>
        <w:pStyle w:val="FirstParagraph"/>
      </w:pPr>
      <w:r>
        <w:t xml:space="preserve">Thornfield has a good journal entry control, on paper.</w:t>
      </w:r>
    </w:p>
    <w:p>
      <w:pPr>
        <w:pStyle w:val="BodyText"/>
      </w:pPr>
      <w:r>
        <w:t xml:space="preserve">Manual journal entries above a threshold route automatically through workflow to an independent second person for approval, before they post. It’s preventive. It’s system-enforced. Nobody can bypass it by being busy or forgetful, because the machine does the routing.</w:t>
      </w:r>
    </w:p>
    <w:p>
      <w:pPr>
        <w:pStyle w:val="BodyText"/>
      </w:pPr>
      <w:r>
        <w:t xml:space="preserve">Théo Laurent tested it in March.</w:t>
      </w:r>
    </w:p>
    <w:p>
      <w:pPr>
        <w:pStyle w:val="BodyText"/>
      </w:pPr>
      <w:r>
        <w:t xml:space="preserve">He pulled the journal entries that had routed through workflow. He selected twenty-five. For each one he checked that an approval existed, that the approver was somebody other than the preparer, and that the approval came before the posting.</w:t>
      </w:r>
    </w:p>
    <w:p>
      <w:pPr>
        <w:pStyle w:val="BodyText"/>
      </w:pPr>
      <w:r>
        <w:rPr>
          <w:bCs/>
          <w:b/>
        </w:rPr>
        <w:t xml:space="preserve">Twenty-five out of twenty-five. Perfect.</w:t>
      </w:r>
    </w:p>
    <w:p>
      <w:pPr>
        <w:pStyle w:val="BodyText"/>
      </w:pPr>
      <w:r>
        <w:t xml:space="preserve">He wrote “no exceptions noted.” His workpaper was neat, complete, and well referenced.</w:t>
      </w:r>
    </w:p>
    <w:bookmarkEnd w:id="33"/>
    <w:bookmarkStart w:id="34" w:name="yusufs-question"/>
    <w:p>
      <w:pPr>
        <w:pStyle w:val="Heading4"/>
      </w:pPr>
      <w:r>
        <w:t xml:space="preserve">Yusuf’s question</w:t>
      </w:r>
    </w:p>
    <w:p>
      <w:pPr>
        <w:pStyle w:val="FirstParagraph"/>
      </w:pPr>
      <w:r>
        <w:t xml:space="preserve">Yusuf Bello, the Internal Audit Manager, reviewed it. He asked one question, and it took Théo four days to recover from it.</w:t>
      </w:r>
    </w:p>
    <w:p>
      <w:pPr>
        <w:pStyle w:val="BlockText"/>
      </w:pPr>
      <w:r>
        <w:rPr>
          <w:iCs/>
          <w:i/>
        </w:rPr>
        <w:t xml:space="preserve">“You’ve confirmed the threshold is correctly configured. How do you know it was configured that way for the whole period?”</w:t>
      </w:r>
    </w:p>
    <w:p>
      <w:pPr>
        <w:pStyle w:val="FirstParagraph"/>
      </w:pPr>
      <w:r>
        <w:t xml:space="preserve">Théo hadn’t confirmed the threshold at all. He’d tested the entries that routed.</w:t>
      </w:r>
    </w:p>
    <w:p>
      <w:pPr>
        <w:pStyle w:val="BodyText"/>
      </w:pPr>
      <w:r>
        <w:t xml:space="preserve">And it took him a while to see why that mattered, because at first it sounds like the same thing.</w:t>
      </w:r>
    </w:p>
    <w:bookmarkEnd w:id="34"/>
    <w:bookmarkStart w:id="35" w:name="why-it-isnt-the-same-thing"/>
    <w:p>
      <w:pPr>
        <w:pStyle w:val="Heading4"/>
      </w:pPr>
      <w:r>
        <w:t xml:space="preserve">Why it isn’t the same thing</w:t>
      </w:r>
    </w:p>
    <w:p>
      <w:pPr>
        <w:pStyle w:val="FirstParagraph"/>
      </w:pPr>
      <w:r>
        <w:t xml:space="preserve">Here’s the shape of it, and it’s worth reading twice.</w:t>
      </w:r>
    </w:p>
    <w:p>
      <w:pPr>
        <w:pStyle w:val="BodyText"/>
      </w:pPr>
      <w:r>
        <w:rPr>
          <w:bCs/>
          <w:b/>
        </w:rPr>
        <w:t xml:space="preserve">The entries Théo sampled were the entries the routing rule sent to workflow.</w:t>
      </w:r>
      <w:r>
        <w:t xml:space="preserve"> </w:t>
      </w:r>
      <w:r>
        <w:t xml:space="preserve">If the rule was wrong, the entries it wrongly let through never entered his sample — because they never routed.</w:t>
      </w:r>
    </w:p>
    <w:p>
      <w:pPr>
        <w:pStyle w:val="BodyText"/>
      </w:pPr>
      <w:r>
        <w:t xml:space="preserve">He had sampled the population the broken rule produced, and found it clean. It was always going to be clean.</w:t>
      </w:r>
      <w:r>
        <w:t xml:space="preserve"> </w:t>
      </w:r>
      <w:r>
        <w:rPr>
          <w:bCs/>
          <w:b/>
        </w:rPr>
        <w:t xml:space="preserve">His test could not have failed.</w:t>
      </w:r>
    </w:p>
    <w:bookmarkEnd w:id="35"/>
    <w:bookmarkStart w:id="36" w:name="the-zero"/>
    <w:p>
      <w:pPr>
        <w:pStyle w:val="Heading4"/>
      </w:pPr>
      <w:r>
        <w:t xml:space="preserve">The zero</w:t>
      </w:r>
    </w:p>
    <w:p>
      <w:pPr>
        <w:pStyle w:val="FirstParagraph"/>
      </w:pPr>
      <w:r>
        <w:t xml:space="preserve">Devon pulled the configuration.</w:t>
      </w:r>
    </w:p>
    <w:p>
      <w:pPr>
        <w:pStyle w:val="BodyText"/>
      </w:pPr>
      <w:r>
        <w:t xml:space="preserve">Thornfield’s policy says manual journal entries over</w:t>
      </w:r>
      <w:r>
        <w:t xml:space="preserve"> </w:t>
      </w:r>
      <w:r>
        <w:rPr>
          <w:bCs/>
          <w:b/>
        </w:rPr>
        <w:t xml:space="preserve">ten thousand dollars</w:t>
      </w:r>
      <w:r>
        <w:t xml:space="preserve"> </w:t>
      </w:r>
      <w:r>
        <w:t xml:space="preserve">route for approval.</w:t>
      </w:r>
    </w:p>
    <w:p>
      <w:pPr>
        <w:pStyle w:val="BodyText"/>
      </w:pPr>
      <w:r>
        <w:t xml:space="preserve">The workflow parameter said</w:t>
      </w:r>
      <w:r>
        <w:t xml:space="preserve"> </w:t>
      </w:r>
      <w:r>
        <w:rPr>
          <w:bCs/>
          <w:b/>
        </w:rPr>
        <w:t xml:space="preserve">one hundred thousand</w:t>
      </w:r>
      <w:r>
        <w:t xml:space="preserve">.</w:t>
      </w:r>
    </w:p>
    <w:p>
      <w:pPr>
        <w:pStyle w:val="BodyText"/>
      </w:pPr>
      <w:r>
        <w:t xml:space="preserve">Somebody, at some point, had typed one zero too many into a configuration field. Not maliciously. Not carelessly, even — the field is one of several hundred on a screen almost nobody re-reads.</w:t>
      </w:r>
    </w:p>
    <w:p>
      <w:pPr>
        <w:pStyle w:val="BodyText"/>
      </w:pPr>
      <w:r>
        <w:t xml:space="preserve">Everything between ten thousand and a hundred thousand had sailed straight through. Posted. Unreviewed.</w:t>
      </w:r>
    </w:p>
    <w:p>
      <w:pPr>
        <w:pStyle w:val="BodyText"/>
      </w:pPr>
      <w:r>
        <w:rPr>
          <w:bCs/>
          <w:b/>
        </w:rPr>
        <w:t xml:space="preserve">For two quarters.</w:t>
      </w:r>
    </w:p>
    <w:p>
      <w:pPr>
        <w:pStyle w:val="BodyText"/>
      </w:pPr>
      <w:r>
        <w:t xml:space="preserve">Four hundred and twelve entries.</w:t>
      </w:r>
    </w:p>
    <w:bookmarkEnd w:id="36"/>
    <w:bookmarkStart w:id="37" w:name="the-second-question"/>
    <w:p>
      <w:pPr>
        <w:pStyle w:val="Heading4"/>
      </w:pPr>
      <w:r>
        <w:t xml:space="preserve">The second question</w:t>
      </w:r>
    </w:p>
    <w:p>
      <w:pPr>
        <w:pStyle w:val="FirstParagraph"/>
      </w:pPr>
      <w:r>
        <w:t xml:space="preserve">Théo’s next instinct was to check the parameter’s current value and confirm it was right.</w:t>
      </w:r>
    </w:p>
    <w:p>
      <w:pPr>
        <w:pStyle w:val="BodyText"/>
      </w:pPr>
      <w:r>
        <w:rPr>
          <w:bCs/>
          <w:b/>
        </w:rPr>
        <w:t xml:space="preserve">It was right.</w:t>
      </w:r>
      <w:r>
        <w:t xml:space="preserve"> </w:t>
      </w:r>
      <w:r>
        <w:t xml:space="preserve">Somebody had corrected it in a routine configuration change six weeks earlier, without anyone connecting the correction to a control failure.</w:t>
      </w:r>
    </w:p>
    <w:p>
      <w:pPr>
        <w:pStyle w:val="BodyText"/>
      </w:pPr>
      <w:r>
        <w:t xml:space="preserve">So Théo nearly wrote a clean conclusion for a second time.</w:t>
      </w:r>
    </w:p>
    <w:p>
      <w:pPr>
        <w:pStyle w:val="BodyText"/>
      </w:pPr>
      <w:r>
        <w:t xml:space="preserve">Nadia caught it:</w:t>
      </w:r>
    </w:p>
    <w:p>
      <w:pPr>
        <w:pStyle w:val="BlockText"/>
      </w:pPr>
      <w:r>
        <w:rPr>
          <w:iCs/>
          <w:i/>
        </w:rPr>
        <w:t xml:space="preserve">“The value today isn’t evidence of the value in March. You need the change history.”</w:t>
      </w:r>
    </w:p>
    <w:p>
      <w:pPr>
        <w:pStyle w:val="FirstParagraph"/>
      </w:pPr>
      <w:r>
        <w:t xml:space="preserve">The change history showed the parameter had been wrong from January to the beginning of June. That’s what turned “the threshold is currently correct” into a finding with a start date, an end date, and a population.</w:t>
      </w:r>
    </w:p>
    <w:bookmarkEnd w:id="37"/>
    <w:bookmarkStart w:id="38" w:name="how-it-was-written"/>
    <w:p>
      <w:pPr>
        <w:pStyle w:val="Heading4"/>
      </w:pPr>
      <w:r>
        <w:t xml:space="preserve">How it was written</w:t>
      </w:r>
    </w:p>
    <w:p>
      <w:pPr>
        <w:pStyle w:val="BlockText"/>
      </w:pPr>
      <w:r>
        <w:rPr>
          <w:iCs/>
          <w:i/>
        </w:rPr>
        <w:t xml:space="preserve">“Four hundred and twelve manual journal entries totalling $18.4 million were posted above the policy approval threshold without workflow routing, as a result of a workflow configuration parameter set to $100,000 rather than the policy value of $10,000, from 3 January to 6 June.”</w:t>
      </w:r>
    </w:p>
    <w:p>
      <w:pPr>
        <w:pStyle w:val="FirstParagraph"/>
      </w:pPr>
      <w:r>
        <w:t xml:space="preserve">One sentence. It contains the</w:t>
      </w:r>
      <w:r>
        <w:t xml:space="preserve"> </w:t>
      </w:r>
      <w:r>
        <w:rPr>
          <w:bCs/>
          <w:b/>
        </w:rPr>
        <w:t xml:space="preserve">what</w:t>
      </w:r>
      <w:r>
        <w:t xml:space="preserve">, the</w:t>
      </w:r>
      <w:r>
        <w:t xml:space="preserve"> </w:t>
      </w:r>
      <w:r>
        <w:rPr>
          <w:bCs/>
          <w:b/>
        </w:rPr>
        <w:t xml:space="preserve">how many</w:t>
      </w:r>
      <w:r>
        <w:t xml:space="preserve">, the</w:t>
      </w:r>
      <w:r>
        <w:t xml:space="preserve"> </w:t>
      </w:r>
      <w:r>
        <w:rPr>
          <w:bCs/>
          <w:b/>
        </w:rPr>
        <w:t xml:space="preserve">how much</w:t>
      </w:r>
      <w:r>
        <w:t xml:space="preserve">, the</w:t>
      </w:r>
      <w:r>
        <w:t xml:space="preserve"> </w:t>
      </w:r>
      <w:r>
        <w:rPr>
          <w:bCs/>
          <w:b/>
        </w:rPr>
        <w:t xml:space="preserve">cause</w:t>
      </w:r>
      <w:r>
        <w:t xml:space="preserve">, and the</w:t>
      </w:r>
      <w:r>
        <w:t xml:space="preserve"> </w:t>
      </w:r>
      <w:r>
        <w:rPr>
          <w:bCs/>
          <w:b/>
        </w:rPr>
        <w:t xml:space="preserve">duration</w:t>
      </w:r>
      <w:r>
        <w:t xml:space="preserve">.</w:t>
      </w:r>
    </w:p>
    <w:p>
      <w:pPr>
        <w:pStyle w:val="BodyText"/>
      </w:pPr>
      <w:r>
        <w:t xml:space="preserve">A Financial Controller can act on it without asking a single follow-up question. That’s the standard your workpapers get held to for the rest of this course.</w:t>
      </w:r>
    </w:p>
    <w:bookmarkEnd w:id="38"/>
    <w:bookmarkStart w:id="39" w:name="what-to-notice"/>
    <w:p>
      <w:pPr>
        <w:pStyle w:val="Heading4"/>
      </w:pPr>
      <w:r>
        <w:t xml:space="preserve">What to notice</w:t>
      </w:r>
    </w:p>
    <w:p>
      <w:pPr>
        <w:pStyle w:val="FirstParagraph"/>
      </w:pPr>
      <w:r>
        <w:rPr>
          <w:bCs/>
          <w:b/>
        </w:rPr>
        <w:t xml:space="preserve">1. A clean result is only evidence if the control could have produced a dirty one.</w:t>
      </w:r>
      <w:r>
        <w:t xml:space="preserve"> </w:t>
      </w:r>
      <w:r>
        <w:t xml:space="preserve">Théo’s test was incapable of failing. That’s the most dangerous outcome in this profession, and it looks exactly like success.</w:t>
      </w:r>
    </w:p>
    <w:p>
      <w:pPr>
        <w:pStyle w:val="BodyText"/>
      </w:pPr>
      <w:r>
        <w:rPr>
          <w:bCs/>
          <w:b/>
        </w:rPr>
        <w:t xml:space="preserve">2. An automated control has two testable components.</w:t>
      </w:r>
      <w:r>
        <w:t xml:space="preserve"> </w:t>
      </w:r>
      <w:r>
        <w:t xml:space="preserve">Configuration and operation. Testing only operation is testing half a control — and it’s the half that can’t find this failure.</w:t>
      </w:r>
    </w:p>
    <w:p>
      <w:pPr>
        <w:pStyle w:val="BodyText"/>
      </w:pPr>
      <w:r>
        <w:rPr>
          <w:bCs/>
          <w:b/>
        </w:rPr>
        <w:t xml:space="preserve">3. The configuration test takes five minutes.</w:t>
      </w:r>
      <w:r>
        <w:t xml:space="preserve"> </w:t>
      </w:r>
      <w:r>
        <w:t xml:space="preserve">That’s what it costs to skip. Two quarters, four hundred and twelve entries, eighteen million dollars.</w:t>
      </w:r>
    </w:p>
    <w:p>
      <w:pPr>
        <w:pStyle w:val="BodyText"/>
      </w:pPr>
      <w:r>
        <w:rPr>
          <w:bCs/>
          <w:b/>
        </w:rPr>
        <w:t xml:space="preserve">4. Current value is not period value.</w:t>
      </w:r>
      <w:r>
        <w:t xml:space="preserve"> </w:t>
      </w:r>
      <w:r>
        <w:t xml:space="preserve">The parameter was right when he looked. It had been wrong for five months. Change history is where the finding lives.</w:t>
      </w:r>
    </w:p>
    <w:p>
      <w:pPr>
        <w:pStyle w:val="BodyText"/>
      </w:pPr>
      <w:r>
        <w:rPr>
          <w:bCs/>
          <w:b/>
        </w:rPr>
        <w:t xml:space="preserve">5. There is no villain again.</w:t>
      </w:r>
      <w:r>
        <w:t xml:space="preserve"> </w:t>
      </w:r>
      <w:r>
        <w:t xml:space="preserve">A typo, in a configuration field, in a system nobody re-reads. Third Book in a row.</w:t>
      </w:r>
    </w:p>
    <w:bookmarkEnd w:id="39"/>
    <w:bookmarkStart w:id="40" w:name="the-question-to-bring-to-class"/>
    <w:p>
      <w:pPr>
        <w:pStyle w:val="Heading4"/>
      </w:pPr>
      <w:r>
        <w:t xml:space="preserve">The question to bring to class</w:t>
      </w:r>
    </w:p>
    <w:p>
      <w:pPr>
        <w:pStyle w:val="FirstParagraph"/>
      </w:pPr>
      <w:r>
        <w:t xml:space="preserve">Book 14 is called</w:t>
      </w:r>
      <w:r>
        <w:t xml:space="preserve"> </w:t>
      </w:r>
      <w:r>
        <w:rPr>
          <w:bCs/>
          <w:b/>
        </w:rPr>
        <w:t xml:space="preserve">The Rule That Never Fired</w:t>
      </w:r>
      <w:r>
        <w:t xml:space="preserve">. An automated exception rule returned a clean result for six weeks — because it had silently stopped checking.</w:t>
      </w:r>
    </w:p>
    <w:p>
      <w:pPr>
        <w:pStyle w:val="BodyText"/>
      </w:pPr>
      <w:r>
        <w:rPr>
          <w:bCs/>
          <w:b/>
        </w:rPr>
        <w:t xml:space="preserve">A working control that finds nothing and a broken control both report “no exceptions.”</w:t>
      </w:r>
    </w:p>
    <w:p>
      <w:pPr>
        <w:pStyle w:val="BodyText"/>
      </w:pPr>
      <w:r>
        <w:t xml:space="preserve">How would you ever tell them apart? Come with a thought.</w:t>
      </w:r>
    </w:p>
    <w:bookmarkEnd w:id="40"/>
    <w:bookmarkStart w:id="41" w:name="before-the-demo-lab-1"/>
    <w:p>
      <w:pPr>
        <w:pStyle w:val="Heading4"/>
      </w:pPr>
      <w:r>
        <w:t xml:space="preserve">Before the Demo Lab</w:t>
      </w:r>
    </w:p>
    <w:p>
      <w:pPr>
        <w:pStyle w:val="FirstParagraph"/>
      </w:pPr>
      <w:r>
        <w:rPr>
          <w:bCs/>
          <w:b/>
        </w:rPr>
        <w:t xml:space="preserve">The question:</w:t>
      </w:r>
      <w:r>
        <w:t xml:space="preserve"> </w:t>
      </w:r>
      <w:r>
        <w:t xml:space="preserve">did entries above the threshold get independently approved</w:t>
      </w:r>
      <w:r>
        <w:t xml:space="preserve"> </w:t>
      </w:r>
      <w:r>
        <w:rPr>
          <w:iCs/>
          <w:i/>
        </w:rPr>
        <w:t xml:space="preserve">before</w:t>
      </w:r>
      <w:r>
        <w:t xml:space="preserve"> </w:t>
      </w:r>
      <w:r>
        <w:t xml:space="preserve">they posted — and was the threshold itself right?</w:t>
      </w:r>
    </w:p>
    <w:bookmarkEnd w:id="41"/>
    <w:bookmarkStart w:id="42" w:name="the-screens-1"/>
    <w:p>
      <w:pPr>
        <w:pStyle w:val="Heading4"/>
      </w:pPr>
      <w:r>
        <w:t xml:space="preserve">The screens</w:t>
      </w:r>
    </w:p>
    <w:tbl>
      <w:tblPr>
        <w:tblStyle w:val="Table"/>
        <w:tblW w:type="pct" w:w="4915"/>
        <w:tblLook w:firstRow="1" w:lastRow="0" w:firstColumn="0" w:lastColumn="0" w:noHBand="0" w:noVBand="0" w:val="0020"/>
        <w:jc w:val="start"/>
      </w:tblPr>
      <w:tblGrid>
        <w:gridCol w:w="2436"/>
        <w:gridCol w:w="5347"/>
      </w:tblGrid>
      <w:tr>
        <w:trPr>
          <w:tblHeader w:val="true"/>
        </w:trPr>
        <w:tc>
          <w:tcPr/>
          <w:p>
            <w:pPr>
              <w:pStyle w:val="Compact"/>
              <w:jc w:val="left"/>
            </w:pPr>
            <w:r>
              <w:rPr>
                <w:bCs/>
                <w:b/>
              </w:rPr>
              <w:t xml:space="preserve">Screen</w:t>
            </w:r>
          </w:p>
        </w:tc>
        <w:tc>
          <w:tcPr/>
          <w:p>
            <w:pPr>
              <w:pStyle w:val="Compact"/>
              <w:jc w:val="left"/>
            </w:pPr>
            <w:r>
              <w:rPr>
                <w:bCs/>
                <w:b/>
              </w:rPr>
              <w:t xml:space="preserve">What it’s for</w:t>
            </w:r>
          </w:p>
        </w:tc>
      </w:tr>
      <w:tr>
        <w:tc>
          <w:tcPr/>
          <w:p>
            <w:pPr>
              <w:pStyle w:val="Compact"/>
              <w:jc w:val="left"/>
            </w:pPr>
            <w:r>
              <w:rPr>
                <w:rStyle w:val="VerbatimChar"/>
              </w:rPr>
              <w:t xml:space="preserve">FBL3N</w:t>
            </w:r>
          </w:p>
        </w:tc>
        <w:tc>
          <w:tcPr/>
          <w:p>
            <w:pPr>
              <w:pStyle w:val="Compact"/>
              <w:jc w:val="left"/>
            </w:pPr>
            <w:r>
              <w:t xml:space="preserve">G/L account line item display — the starting point, with a trap in it</w:t>
            </w:r>
          </w:p>
        </w:tc>
      </w:tr>
      <w:tr>
        <w:tc>
          <w:tcPr/>
          <w:p>
            <w:pPr>
              <w:pStyle w:val="Compact"/>
              <w:jc w:val="left"/>
            </w:pPr>
            <w:r>
              <w:rPr>
                <w:rStyle w:val="VerbatimChar"/>
              </w:rPr>
              <w:t xml:space="preserve">FB03</w:t>
            </w:r>
          </w:p>
        </w:tc>
        <w:tc>
          <w:tcPr/>
          <w:p>
            <w:pPr>
              <w:pStyle w:val="Compact"/>
              <w:jc w:val="left"/>
            </w:pPr>
            <w:r>
              <w:t xml:space="preserve">Display one accounting document — header, creator, timestamps, document type</w:t>
            </w:r>
          </w:p>
        </w:tc>
      </w:tr>
      <w:tr>
        <w:tc>
          <w:tcPr/>
          <w:p>
            <w:pPr>
              <w:pStyle w:val="Compact"/>
              <w:jc w:val="left"/>
            </w:pPr>
            <w:r>
              <w:rPr>
                <w:rStyle w:val="VerbatimChar"/>
              </w:rPr>
              <w:t xml:space="preserve">SWI1</w:t>
            </w:r>
            <w:r>
              <w:t xml:space="preserve"> </w:t>
            </w:r>
            <w:r>
              <w:t xml:space="preserve">/</w:t>
            </w:r>
            <w:r>
              <w:t xml:space="preserve"> </w:t>
            </w:r>
            <w:r>
              <w:rPr>
                <w:rStyle w:val="VerbatimChar"/>
              </w:rPr>
              <w:t xml:space="preserve">SWIA</w:t>
            </w:r>
          </w:p>
        </w:tc>
        <w:tc>
          <w:tcPr/>
          <w:p>
            <w:pPr>
              <w:pStyle w:val="Compact"/>
              <w:jc w:val="left"/>
            </w:pPr>
            <w:r>
              <w:t xml:space="preserve">Workflow log — the</w:t>
            </w:r>
            <w:r>
              <w:t xml:space="preserve"> </w:t>
            </w:r>
            <w:r>
              <w:rPr>
                <w:bCs/>
                <w:b/>
              </w:rPr>
              <w:t xml:space="preserve">path</w:t>
            </w:r>
            <w:r>
              <w:t xml:space="preserve"> </w:t>
            </w:r>
            <w:r>
              <w:t xml:space="preserve">a document actually took, not just its status</w:t>
            </w:r>
          </w:p>
        </w:tc>
      </w:tr>
      <w:tr>
        <w:tc>
          <w:tcPr/>
          <w:p>
            <w:pPr>
              <w:pStyle w:val="Compact"/>
              <w:jc w:val="left"/>
            </w:pPr>
            <w:r>
              <w:rPr>
                <w:rStyle w:val="VerbatimChar"/>
              </w:rPr>
              <w:t xml:space="preserve">SE16N</w:t>
            </w:r>
            <w:r>
              <w:t xml:space="preserve"> </w:t>
            </w:r>
            <w:r>
              <w:t xml:space="preserve">on</w:t>
            </w:r>
            <w:r>
              <w:t xml:space="preserve"> </w:t>
            </w:r>
            <w:r>
              <w:rPr>
                <w:rStyle w:val="VerbatimChar"/>
              </w:rPr>
              <w:t xml:space="preserve">BKPF</w:t>
            </w:r>
            <w:r>
              <w:t xml:space="preserve"> </w:t>
            </w:r>
            <w:r>
              <w:t xml:space="preserve">/</w:t>
            </w:r>
            <w:r>
              <w:t xml:space="preserve"> </w:t>
            </w:r>
            <w:r>
              <w:rPr>
                <w:rStyle w:val="VerbatimChar"/>
              </w:rPr>
              <w:t xml:space="preserve">BSEG</w:t>
            </w:r>
          </w:p>
        </w:tc>
        <w:tc>
          <w:tcPr/>
          <w:p>
            <w:pPr>
              <w:pStyle w:val="Compact"/>
              <w:jc w:val="left"/>
            </w:pPr>
            <w:r>
              <w:t xml:space="preserve">Document header and line item tables, when the reports aren’t enough</w:t>
            </w:r>
          </w:p>
        </w:tc>
      </w:tr>
    </w:tbl>
    <w:bookmarkEnd w:id="42"/>
    <w:bookmarkStart w:id="43" w:name="two-dates-and-the-difference-matters"/>
    <w:p>
      <w:pPr>
        <w:pStyle w:val="Heading4"/>
      </w:pPr>
      <w:r>
        <w:t xml:space="preserve">Two dates, and the difference matters</w:t>
      </w:r>
    </w:p>
    <w:p>
      <w:pPr>
        <w:pStyle w:val="FirstParagraph"/>
      </w:pPr>
      <w:r>
        <w:rPr>
          <w:rStyle w:val="VerbatimChar"/>
        </w:rPr>
        <w:t xml:space="preserve">FBL3N</w:t>
      </w:r>
      <w:r>
        <w:t xml:space="preserve">’s selection screen has more than one date field. This matters more than anything else on the screen.</w:t>
      </w:r>
    </w:p>
    <w:p>
      <w:pPr>
        <w:pStyle w:val="BodyText"/>
      </w:pPr>
      <w:r>
        <w:rPr>
          <w:bCs/>
          <w:b/>
        </w:rPr>
        <w:t xml:space="preserve">Posting date</w:t>
      </w:r>
      <w:r>
        <w:t xml:space="preserve"> </w:t>
      </w:r>
      <w:r>
        <w:t xml:space="preserve">is the date the entry hits the ledger. The date the accountant chose.</w:t>
      </w:r>
    </w:p>
    <w:p>
      <w:pPr>
        <w:pStyle w:val="BodyText"/>
      </w:pPr>
      <w:r>
        <w:rPr>
          <w:bCs/>
          <w:b/>
        </w:rPr>
        <w:t xml:space="preserve">Entry date</w:t>
      </w:r>
      <w:r>
        <w:t xml:space="preserve"> </w:t>
      </w:r>
      <w:r>
        <w:t xml:space="preserve">is the date somebody actually typed it.</w:t>
      </w:r>
    </w:p>
    <w:p>
      <w:pPr>
        <w:pStyle w:val="BodyText"/>
      </w:pPr>
      <w:r>
        <w:t xml:space="preserve">These are often different — sometimes by weeks.</w:t>
      </w:r>
    </w:p>
    <w:p>
      <w:pPr>
        <w:pStyle w:val="BodyText"/>
      </w:pPr>
      <w:r>
        <w:rPr>
          <w:bCs/>
          <w:b/>
        </w:rPr>
        <w:t xml:space="preserve">Which one defines your period is a decision you make deliberately. Not a default you accept.</w:t>
      </w:r>
    </w:p>
    <w:p>
      <w:pPr>
        <w:pStyle w:val="BodyText"/>
      </w:pPr>
      <w:r>
        <w:t xml:space="preserve">An entry posted to March and typed in June is a different animal from one posted and typed in March. If your population used posting date, you’ll never see it.</w:t>
      </w:r>
    </w:p>
    <w:bookmarkEnd w:id="43"/>
    <w:bookmarkStart w:id="44" w:name="the-trap-on-fbl3n"/>
    <w:p>
      <w:pPr>
        <w:pStyle w:val="Heading4"/>
      </w:pPr>
      <w:r>
        <w:t xml:space="preserve">The trap on</w:t>
      </w:r>
      <w:r>
        <w:t xml:space="preserve"> </w:t>
      </w:r>
      <w:r>
        <w:rPr>
          <w:rStyle w:val="VerbatimChar"/>
        </w:rPr>
        <w:t xml:space="preserve">FBL3N</w:t>
      </w:r>
    </w:p>
    <w:p>
      <w:pPr>
        <w:pStyle w:val="FirstParagraph"/>
      </w:pPr>
      <w:r>
        <w:rPr>
          <w:rStyle w:val="VerbatimChar"/>
        </w:rPr>
        <w:t xml:space="preserve">FBL3N</w:t>
      </w:r>
      <w:r>
        <w:t xml:space="preserve"> </w:t>
      </w:r>
      <w:r>
        <w:t xml:space="preserve">displays G/L line items. Part 6 of the study guide warns about this, and it’s worth repeating.</w:t>
      </w:r>
    </w:p>
    <w:p>
      <w:pPr>
        <w:pStyle w:val="BodyText"/>
      </w:pPr>
      <w:r>
        <w:rPr>
          <w:bCs/>
          <w:b/>
        </w:rPr>
        <w:t xml:space="preserve">This is not automatically a complete journal-entry population.</w:t>
      </w:r>
    </w:p>
    <w:p>
      <w:pPr>
        <w:pStyle w:val="BodyText"/>
      </w:pPr>
      <w:r>
        <w:t xml:space="preserve">It shows you line items in the accounts you selected.</w:t>
      </w:r>
      <w:r>
        <w:t xml:space="preserve"> </w:t>
      </w:r>
      <w:r>
        <w:rPr>
          <w:bCs/>
          <w:b/>
        </w:rPr>
        <w:t xml:space="preserve">Manual</w:t>
      </w:r>
      <w:r>
        <w:t xml:space="preserve"> </w:t>
      </w:r>
      <w:r>
        <w:t xml:space="preserve">journal entries are identified by</w:t>
      </w:r>
      <w:r>
        <w:t xml:space="preserve"> </w:t>
      </w:r>
      <w:r>
        <w:rPr>
          <w:bCs/>
          <w:b/>
        </w:rPr>
        <w:t xml:space="preserve">document type</w:t>
      </w:r>
      <w:r>
        <w:t xml:space="preserve"> </w:t>
      </w:r>
      <w:r>
        <w:t xml:space="preserve">— and the document types your client uses for manual entries are client-specific configuration.</w:t>
      </w:r>
    </w:p>
    <w:p>
      <w:pPr>
        <w:pStyle w:val="BodyText"/>
      </w:pPr>
      <w:r>
        <w:t xml:space="preserve">You</w:t>
      </w:r>
      <w:r>
        <w:t xml:space="preserve"> </w:t>
      </w:r>
      <w:r>
        <w:rPr>
          <w:bCs/>
          <w:b/>
        </w:rPr>
        <w:t xml:space="preserve">confirm</w:t>
      </w:r>
      <w:r>
        <w:t xml:space="preserve"> </w:t>
      </w:r>
      <w:r>
        <w:t xml:space="preserve">them. You don’t assume them.</w:t>
      </w:r>
    </w:p>
    <w:p>
      <w:pPr>
        <w:pStyle w:val="BodyText"/>
      </w:pPr>
      <w:r>
        <w:t xml:space="preserve">Get that wrong and your population silently leaves out exactly the entries you were looking for.</w:t>
      </w:r>
    </w:p>
    <w:p>
      <w:pPr>
        <w:pStyle w:val="BodyText"/>
      </w:pPr>
      <w:r>
        <w:t xml:space="preserve">When the report isn’t enough, go to the tables:</w:t>
      </w:r>
      <w:r>
        <w:t xml:space="preserve"> </w:t>
      </w:r>
      <w:r>
        <w:rPr>
          <w:rStyle w:val="VerbatimChar"/>
        </w:rPr>
        <w:t xml:space="preserve">SE16N</w:t>
      </w:r>
      <w:r>
        <w:t xml:space="preserve"> </w:t>
      </w:r>
      <w:r>
        <w:t xml:space="preserve">on</w:t>
      </w:r>
      <w:r>
        <w:t xml:space="preserve"> </w:t>
      </w:r>
      <w:r>
        <w:rPr>
          <w:rStyle w:val="VerbatimChar"/>
        </w:rPr>
        <w:t xml:space="preserve">BKPF</w:t>
      </w:r>
      <w:r>
        <w:t xml:space="preserve"> </w:t>
      </w:r>
      <w:r>
        <w:t xml:space="preserve">and</w:t>
      </w:r>
      <w:r>
        <w:t xml:space="preserve"> </w:t>
      </w:r>
      <w:r>
        <w:rPr>
          <w:rStyle w:val="VerbatimChar"/>
        </w:rPr>
        <w:t xml:space="preserve">BSEG</w:t>
      </w:r>
      <w:r>
        <w:t xml:space="preserve">.</w:t>
      </w:r>
    </w:p>
    <w:bookmarkEnd w:id="44"/>
    <w:bookmarkStart w:id="45" w:name="fb03-the-header"/>
    <w:p>
      <w:pPr>
        <w:pStyle w:val="Heading4"/>
      </w:pPr>
      <w:r>
        <w:rPr>
          <w:rStyle w:val="VerbatimChar"/>
        </w:rPr>
        <w:t xml:space="preserve">FB03</w:t>
      </w:r>
      <w:r>
        <w:t xml:space="preserve"> </w:t>
      </w:r>
      <w:r>
        <w:t xml:space="preserve">— the header</w:t>
      </w:r>
    </w:p>
    <w:p>
      <w:pPr>
        <w:pStyle w:val="FirstParagraph"/>
      </w:pPr>
      <w:r>
        <w:t xml:space="preserve">Open one document and read the header. Who entered it. On what date, at what time. What document type. What posting date.</w:t>
      </w:r>
    </w:p>
    <w:bookmarkEnd w:id="45"/>
    <w:bookmarkStart w:id="46" w:name="swi1-the-number-nobody-captures"/>
    <w:p>
      <w:pPr>
        <w:pStyle w:val="Heading4"/>
      </w:pPr>
      <w:r>
        <w:rPr>
          <w:rStyle w:val="VerbatimChar"/>
        </w:rPr>
        <w:t xml:space="preserve">SWI1</w:t>
      </w:r>
      <w:r>
        <w:t xml:space="preserve"> </w:t>
      </w:r>
      <w:r>
        <w:t xml:space="preserve">— the number nobody captures</w:t>
      </w:r>
    </w:p>
    <w:p>
      <w:pPr>
        <w:pStyle w:val="FirstParagraph"/>
      </w:pPr>
      <w:r>
        <w:rPr>
          <w:rStyle w:val="VerbatimChar"/>
        </w:rPr>
        <w:t xml:space="preserve">SWI1</w:t>
      </w:r>
      <w:r>
        <w:t xml:space="preserve"> </w:t>
      </w:r>
      <w:r>
        <w:t xml:space="preserve">traces the workflow. Not the status —</w:t>
      </w:r>
      <w:r>
        <w:t xml:space="preserve"> </w:t>
      </w:r>
      <w:r>
        <w:rPr>
          <w:bCs/>
          <w:b/>
        </w:rPr>
        <w:t xml:space="preserve">the path</w:t>
      </w:r>
      <w:r>
        <w:t xml:space="preserve">.</w:t>
      </w:r>
    </w:p>
    <w:p>
      <w:pPr>
        <w:pStyle w:val="BodyText"/>
      </w:pPr>
      <w:r>
        <w:t xml:space="preserve">And here’s the field everybody forgets.</w:t>
      </w:r>
    </w:p>
    <w:p>
      <w:pPr>
        <w:pStyle w:val="BodyText"/>
      </w:pPr>
      <w:r>
        <w:rPr>
          <w:bCs/>
          <w:b/>
        </w:rPr>
        <w:t xml:space="preserve">The approval timestamp, against the posting timestamp.</w:t>
      </w:r>
    </w:p>
    <w:p>
      <w:pPr>
        <w:pStyle w:val="BodyText"/>
      </w:pPr>
      <w:r>
        <w:t xml:space="preserve">A completed workflow tells you approval happened. It doesn’t tell you approval happened</w:t>
      </w:r>
      <w:r>
        <w:t xml:space="preserve"> </w:t>
      </w:r>
      <w:r>
        <w:rPr>
          <w:bCs/>
          <w:b/>
        </w:rPr>
        <w:t xml:space="preserve">first</w:t>
      </w:r>
      <w:r>
        <w:t xml:space="preserve">.</w:t>
      </w:r>
    </w:p>
    <w:p>
      <w:pPr>
        <w:pStyle w:val="BodyText"/>
      </w:pPr>
      <w:r>
        <w:t xml:space="preserve">An approval that lands after the posting is not a preventive control, whatever the status field says. It’s a record of someone agreeing with something that had already gone through.</w:t>
      </w:r>
    </w:p>
    <w:p>
      <w:pPr>
        <w:pStyle w:val="BodyText"/>
      </w:pPr>
      <w:r>
        <w:rPr>
          <w:bCs/>
          <w:b/>
        </w:rPr>
        <w:t xml:space="preserve">That gap, in minutes, is your evidence that the control operated in the direction it claims to.</w:t>
      </w:r>
    </w:p>
    <w:bookmarkEnd w:id="46"/>
    <w:bookmarkStart w:id="47" w:name="and-the-point-of-the-whole-book"/>
    <w:p>
      <w:pPr>
        <w:pStyle w:val="Heading4"/>
      </w:pPr>
      <w:r>
        <w:t xml:space="preserve">And the point of the whole Book</w:t>
      </w:r>
    </w:p>
    <w:p>
      <w:pPr>
        <w:pStyle w:val="FirstParagraph"/>
      </w:pPr>
      <w:r>
        <w:t xml:space="preserve">Everything above is</w:t>
      </w:r>
      <w:r>
        <w:t xml:space="preserve"> </w:t>
      </w:r>
      <w:r>
        <w:rPr>
          <w:bCs/>
          <w:b/>
        </w:rPr>
        <w:t xml:space="preserve">operating effectiveness</w:t>
      </w:r>
      <w:r>
        <w:t xml:space="preserve"> </w:t>
      </w:r>
      <w:r>
        <w:t xml:space="preserve">— did the entries route.</w:t>
      </w:r>
    </w:p>
    <w:p>
      <w:pPr>
        <w:pStyle w:val="BodyText"/>
      </w:pPr>
      <w:r>
        <w:t xml:space="preserve">Book 3’s failure was in</w:t>
      </w:r>
      <w:r>
        <w:t xml:space="preserve"> </w:t>
      </w:r>
      <w:r>
        <w:rPr>
          <w:bCs/>
          <w:b/>
        </w:rPr>
        <w:t xml:space="preserve">configuration</w:t>
      </w:r>
      <w:r>
        <w:t xml:space="preserve"> </w:t>
      </w:r>
      <w:r>
        <w:t xml:space="preserve">— a threshold field with a zero in the wrong place.</w:t>
      </w:r>
    </w:p>
    <w:p>
      <w:pPr>
        <w:pStyle w:val="BodyText"/>
      </w:pPr>
      <w:r>
        <w:t xml:space="preserve">Testing the entries that routed would never have found it, because the entries that routed were fine.</w:t>
      </w:r>
    </w:p>
    <w:p>
      <w:pPr>
        <w:pStyle w:val="BodyText"/>
      </w:pPr>
      <w:r>
        <w:rPr>
          <w:bCs/>
          <w:b/>
        </w:rPr>
        <w:t xml:space="preserve">On an automated control you test the parameter as well as the population.</w:t>
      </w:r>
      <w:r>
        <w:t xml:space="preserve"> </w:t>
      </w:r>
      <w:r>
        <w:t xml:space="preserve">The parameter test takes five minutes. It isn’t optional, and this Book is what it costs to skip it.</w:t>
      </w:r>
    </w:p>
    <w:p>
      <w:pPr>
        <w:pStyle w:val="BodyText"/>
      </w:pPr>
      <w:r>
        <w:t xml:space="preserve">And one more, from the story:</w:t>
      </w:r>
      <w:r>
        <w:t xml:space="preserve"> </w:t>
      </w:r>
      <w:r>
        <w:rPr>
          <w:bCs/>
          <w:b/>
        </w:rPr>
        <w:t xml:space="preserve">the parameter’s value today is not evidence of its value in March.</w:t>
      </w:r>
      <w:r>
        <w:t xml:space="preserve"> </w:t>
      </w:r>
      <w:r>
        <w:t xml:space="preserve">You need the change history across the period.</w:t>
      </w:r>
    </w:p>
    <w:bookmarkEnd w:id="47"/>
    <w:bookmarkStart w:id="48" w:name="what-youll-produce-on-the-session-1"/>
    <w:p>
      <w:pPr>
        <w:pStyle w:val="Heading4"/>
      </w:pPr>
      <w:r>
        <w:t xml:space="preserve">What you’ll produce on the session</w:t>
      </w:r>
    </w:p>
    <w:p>
      <w:pPr>
        <w:pStyle w:val="FirstParagraph"/>
      </w:pPr>
      <w:r>
        <w:t xml:space="preserve">For one journal entry, the</w:t>
      </w:r>
      <w:r>
        <w:t xml:space="preserve"> </w:t>
      </w:r>
      <w:r>
        <w:rPr>
          <w:bCs/>
          <w:b/>
        </w:rPr>
        <w:t xml:space="preserve">full chain</w:t>
      </w:r>
      <w:r>
        <w:t xml:space="preserve">:</w:t>
      </w:r>
    </w:p>
    <w:p>
      <w:pPr>
        <w:numPr>
          <w:ilvl w:val="0"/>
          <w:numId w:val="1003"/>
        </w:numPr>
        <w:pStyle w:val="Compact"/>
      </w:pPr>
      <w:r>
        <w:t xml:space="preserve">Who prepared it</w:t>
      </w:r>
    </w:p>
    <w:p>
      <w:pPr>
        <w:numPr>
          <w:ilvl w:val="0"/>
          <w:numId w:val="1003"/>
        </w:numPr>
        <w:pStyle w:val="Compact"/>
      </w:pPr>
      <w:r>
        <w:t xml:space="preserve">Whether it routed</w:t>
      </w:r>
    </w:p>
    <w:p>
      <w:pPr>
        <w:numPr>
          <w:ilvl w:val="0"/>
          <w:numId w:val="1003"/>
        </w:numPr>
        <w:pStyle w:val="Compact"/>
      </w:pPr>
      <w:r>
        <w:t xml:space="preserve">Who approved it</w:t>
      </w:r>
    </w:p>
    <w:p>
      <w:pPr>
        <w:numPr>
          <w:ilvl w:val="0"/>
          <w:numId w:val="1003"/>
        </w:numPr>
        <w:pStyle w:val="Compact"/>
      </w:pPr>
      <w:r>
        <w:rPr>
          <w:bCs/>
          <w:b/>
        </w:rPr>
        <w:t xml:space="preserve">The gap between approval timestamp and posting timestamp</w:t>
      </w:r>
    </w:p>
    <w:p>
      <w:pPr>
        <w:pStyle w:val="FirstParagraph"/>
      </w:pPr>
      <w:r>
        <w:t xml:space="preserve">That last number is the one people forget to capture, and it’s the one that shows whether approval preceded posting or merely accompanied it.</w:t>
      </w:r>
    </w:p>
    <w:bookmarkEnd w:id="48"/>
    <w:bookmarkStart w:id="49" w:name="the-question-to-bring-1"/>
    <w:p>
      <w:pPr>
        <w:pStyle w:val="Heading4"/>
      </w:pPr>
      <w:r>
        <w:t xml:space="preserve">The question to bring</w:t>
      </w:r>
    </w:p>
    <w:p>
      <w:pPr>
        <w:pStyle w:val="BlockText"/>
      </w:pPr>
      <w:r>
        <w:t xml:space="preserve">Is the approval threshold enforced by the system, or by a policy? Where did your journal-entry population come from?</w:t>
      </w:r>
    </w:p>
    <w:p>
      <w:pPr>
        <w:pStyle w:val="FirstParagraph"/>
      </w:pPr>
      <w:r>
        <w:t xml:space="preserve">Decide your answer before the session — in Defend It, someone will ask it.</w:t>
      </w:r>
    </w:p>
    <w:bookmarkEnd w:id="49"/>
    <w:bookmarkEnd w:id="50"/>
    <w:bookmarkEnd w:id="51"/>
    <w:bookmarkStart w:id="57" w:name="X2c33907084b6b502770d5fe259e2e9027e4fcbf"/>
    <w:p>
      <w:pPr>
        <w:pStyle w:val="Heading2"/>
      </w:pPr>
      <w:r>
        <w:t xml:space="preserve">Session 11 — Sat · Midpoint — each trainee builds the Thornfield RCM from sessions 2–10</w:t>
      </w:r>
    </w:p>
    <w:p>
      <w:pPr>
        <w:pStyle w:val="FirstParagraph"/>
      </w:pPr>
      <w:r>
        <w:rPr>
          <w:bCs/>
          <w:b/>
        </w:rPr>
        <w:t xml:space="preserve">Before session 11:</w:t>
      </w:r>
      <w:r>
        <w:t xml:space="preserve"> </w:t>
      </w:r>
      <w:r>
        <w:t xml:space="preserve">re-read the scenario of every Book from sessions 2–10 in the app and bring your notes. In the session you build the Thornfield RCM using the Midpoint RCM Exercise in your assessment folder — at least 8 controls, and at least one automated control confirmed in configuration.</w:t>
      </w:r>
    </w:p>
    <w:bookmarkStart w:id="56" w:name="book-36-the-map-before-the-testing"/>
    <w:p>
      <w:pPr>
        <w:pStyle w:val="Heading3"/>
      </w:pPr>
      <w:r>
        <w:t xml:space="preserve">Book 36 — The Map Before the Testing</w:t>
      </w:r>
    </w:p>
    <w:p>
      <w:pPr>
        <w:pStyle w:val="FirstParagraph"/>
      </w:pPr>
      <w:r>
        <w:rPr>
          <w:iCs/>
          <w:i/>
        </w:rPr>
        <w:t xml:space="preserve">Part XI · RCM (Risk &amp; Control Matrix) Construction</w:t>
      </w:r>
    </w:p>
    <w:p>
      <w:pPr>
        <w:pStyle w:val="BodyText"/>
      </w:pPr>
      <w:r>
        <w:rPr>
          <w:bCs/>
          <w:b/>
        </w:rPr>
        <w:t xml:space="preserve">Scope area: RCM (Risk &amp; Control Matrix) Construction</w:t>
      </w:r>
    </w:p>
    <w:p>
      <w:pPr>
        <w:pStyle w:val="BodyText"/>
      </w:pPr>
      <w:r>
        <w:t xml:space="preserve">As engagement manager, translate a walkthrough of the Procure-to-Pay and Record-to-Report cycles into a structured Risk &amp; Control Matrix (RCM) — the document that will define which controls get tested, by whom, and how — before any fieldwork begins.</w:t>
      </w:r>
    </w:p>
    <w:bookmarkStart w:id="52" w:name="what-to-watch-for-1"/>
    <w:p>
      <w:pPr>
        <w:pStyle w:val="Heading5"/>
      </w:pPr>
      <w:r>
        <w:t xml:space="preserve">What to watch for</w:t>
      </w:r>
    </w:p>
    <w:p>
      <w:pPr>
        <w:pStyle w:val="FirstParagraph"/>
      </w:pPr>
      <w:r>
        <w:t xml:space="preserve">An RCM built entirely from policy documents and never validated against actual system configuration will send testers out to test a control that doesn't operate the way the matrix says it does — as this course's own fieldwork has repeatedly shown.</w:t>
      </w:r>
    </w:p>
    <w:bookmarkEnd w:id="52"/>
    <w:bookmarkStart w:id="53" w:name="evidence-you-will-need-1"/>
    <w:p>
      <w:pPr>
        <w:pStyle w:val="Heading5"/>
      </w:pPr>
      <w:r>
        <w:t xml:space="preserve">Evidence you will need</w:t>
      </w:r>
    </w:p>
    <w:p>
      <w:pPr>
        <w:pStyle w:val="FirstParagraph"/>
      </w:pPr>
      <w:r>
        <w:t xml:space="preserve">Walkthrough notes per control owner, the configuration confirmation for each automated control referenced, the completed RCM with all attributes populated, and control-owner sign-off on the draft RCM.</w:t>
      </w:r>
    </w:p>
    <w:bookmarkEnd w:id="53"/>
    <w:bookmarkStart w:id="54" w:name="X18ce9bc32099f3a79b8dbf3bc1f90b3b845ac76"/>
    <w:p>
      <w:pPr>
        <w:pStyle w:val="Heading5"/>
      </w:pPr>
      <w:r>
        <w:t xml:space="preserve">Execution steps (as they appear in the app)</w:t>
      </w:r>
    </w:p>
    <w:p>
      <w:pPr>
        <w:pStyle w:val="FirstParagraph"/>
      </w:pPr>
      <w:r>
        <w:rPr>
          <w:bCs/>
          <w:b/>
        </w:rPr>
        <w:t xml:space="preserve">Process Walkthrough (Control Owner Interview):</w:t>
      </w:r>
      <w:r>
        <w:t xml:space="preserve"> </w:t>
      </w:r>
      <w:r>
        <w:t xml:space="preserve">Conduct a structured interview with each control owner, documenting the control exactly as they describe performing it. [No SAP navigation — this is an interview and documentation step.]</w:t>
      </w:r>
    </w:p>
    <w:p>
      <w:pPr>
        <w:pStyle w:val="BodyText"/>
      </w:pPr>
      <w:r>
        <w:rPr>
          <w:bCs/>
          <w:b/>
        </w:rPr>
        <w:t xml:space="preserve">SPRO / OMR6 (SAP GUI (display only)):</w:t>
      </w:r>
      <w:r>
        <w:t xml:space="preserve"> </w:t>
      </w:r>
      <w:r>
        <w:t xml:space="preserve">Independently confirm the configuration behind any automated control mentioned in the walkthrough. [Navigation: type the relevant transaction (e.g., OMR6, SPRO) in display mode, record the configured values.]</w:t>
      </w:r>
    </w:p>
    <w:p>
      <w:pPr>
        <w:pStyle w:val="BodyText"/>
      </w:pPr>
      <w:r>
        <w:rPr>
          <w:bCs/>
          <w:b/>
        </w:rPr>
        <w:t xml:space="preserve">GRC Process Control Repository (GRC Process Control):</w:t>
      </w:r>
      <w:r>
        <w:t xml:space="preserve"> </w:t>
      </w:r>
      <w:r>
        <w:t xml:space="preserve">Search the control repository for a prior-cycle version of the control and compare attributes. [Navigation: open the control repository app, search by process area or control name.]</w:t>
      </w:r>
    </w:p>
    <w:p>
      <w:pPr>
        <w:pStyle w:val="BodyText"/>
      </w:pPr>
      <w:r>
        <w:rPr>
          <w:bCs/>
          <w:b/>
        </w:rPr>
        <w:t xml:space="preserve">RCM Template (Manager Workpaper):</w:t>
      </w:r>
      <w:r>
        <w:t xml:space="preserve"> </w:t>
      </w:r>
      <w:r>
        <w:t xml:space="preserve">Populate the RCM with each control's full attribute set and testing approach. [No SAP navigation — this is a workpaper-construction step.]</w:t>
      </w:r>
    </w:p>
    <w:p>
      <w:pPr>
        <w:pStyle w:val="BodyText"/>
      </w:pPr>
      <w:r>
        <w:rPr>
          <w:bCs/>
          <w:b/>
        </w:rPr>
        <w:t xml:space="preserve">— (—):</w:t>
      </w:r>
      <w:r>
        <w:t xml:space="preserve"> </w:t>
      </w:r>
      <w:r>
        <w:t xml:space="preserve">Circulate the draft RCM for control-owner sign-off before scheduling any fieldwork against it.</w:t>
      </w:r>
    </w:p>
    <w:bookmarkEnd w:id="54"/>
    <w:bookmarkStart w:id="55" w:name="the-question-to-bring-2"/>
    <w:p>
      <w:pPr>
        <w:pStyle w:val="Heading4"/>
      </w:pPr>
      <w:r>
        <w:t xml:space="preserve">The question to bring</w:t>
      </w:r>
    </w:p>
    <w:p>
      <w:pPr>
        <w:pStyle w:val="BlockText"/>
      </w:pPr>
      <w:r>
        <w:t xml:space="preserve">Which controls in your RCM are key, and why? Which automated control did you confirm in configuration rather than take from the walkthrough?</w:t>
      </w:r>
    </w:p>
    <w:p>
      <w:pPr>
        <w:pStyle w:val="FirstParagraph"/>
      </w:pPr>
      <w:r>
        <w:t xml:space="preserve">Decide your answer before the session — in Defend It, someone will ask it.</w:t>
      </w:r>
    </w:p>
    <w:bookmarkEnd w:id="55"/>
    <w:bookmarkEnd w:id="56"/>
    <w:bookmarkEnd w:id="57"/>
    <w:bookmarkStart w:id="63" w:name="X6df3cd2a0534dc9ea4eeed0614b774e704fea0a"/>
    <w:p>
      <w:pPr>
        <w:pStyle w:val="Heading2"/>
      </w:pPr>
      <w:r>
        <w:t xml:space="preserve">Session 12 — Sun · Book 24 — The Match That Wasn't</w:t>
      </w:r>
    </w:p>
    <w:bookmarkStart w:id="62" w:name="book-24-the-match-that-wasnt"/>
    <w:p>
      <w:pPr>
        <w:pStyle w:val="Heading3"/>
      </w:pPr>
      <w:r>
        <w:t xml:space="preserve">Book 24 — The Match That Wasn't</w:t>
      </w:r>
    </w:p>
    <w:p>
      <w:pPr>
        <w:pStyle w:val="FirstParagraph"/>
      </w:pPr>
      <w:r>
        <w:rPr>
          <w:iCs/>
          <w:i/>
        </w:rPr>
        <w:t xml:space="preserve">Part VII · Two-Way vs. Three-Way Match Configuration Testing</w:t>
      </w:r>
    </w:p>
    <w:p>
      <w:pPr>
        <w:pStyle w:val="BodyText"/>
      </w:pPr>
      <w:r>
        <w:rPr>
          <w:bCs/>
          <w:b/>
        </w:rPr>
        <w:t xml:space="preserve">Scope area: Two-Way vs. Three-Way Match Configuration Testing</w:t>
      </w:r>
    </w:p>
    <w:p>
      <w:pPr>
        <w:pStyle w:val="BodyText"/>
      </w:pPr>
      <w:r>
        <w:t xml:space="preserve">Confirm whether the three-way match (purchase order, goods receipt, invoice) is actually configured and enforced at every plant, not just documented in the control matrix.</w:t>
      </w:r>
    </w:p>
    <w:bookmarkStart w:id="58" w:name="what-to-watch-for-2"/>
    <w:p>
      <w:pPr>
        <w:pStyle w:val="Heading5"/>
      </w:pPr>
      <w:r>
        <w:t xml:space="preserve">What to watch for</w:t>
      </w:r>
    </w:p>
    <w:p>
      <w:pPr>
        <w:pStyle w:val="FirstParagraph"/>
      </w:pPr>
      <w:r>
        <w:t xml:space="preserve">A clean sample proves nothing if the underlying configuration only ever allows a match to occur — test the configuration itself before testing transactions against it, since a setting that cannot fail is not a control.</w:t>
      </w:r>
    </w:p>
    <w:bookmarkEnd w:id="58"/>
    <w:bookmarkStart w:id="59" w:name="evidence-you-will-need-2"/>
    <w:p>
      <w:pPr>
        <w:pStyle w:val="Heading5"/>
      </w:pPr>
      <w:r>
        <w:t xml:space="preserve">Evidence you will need</w:t>
      </w:r>
    </w:p>
    <w:p>
      <w:pPr>
        <w:pStyle w:val="FirstParagraph"/>
      </w:pPr>
      <w:r>
        <w:t xml:space="preserve">The EKPO extract by plant showing which plants are configured for two-way match, the transport/change history for that configuration, and at least one ME23N Purchase Order History screenshot showing the posting-date sequence of PO, goods receipt, and invoice.</w:t>
      </w:r>
    </w:p>
    <w:bookmarkEnd w:id="59"/>
    <w:bookmarkStart w:id="60" w:name="X1ad0ee9c5b689423e95fe83bb289136c505c6fd"/>
    <w:p>
      <w:pPr>
        <w:pStyle w:val="Heading5"/>
      </w:pPr>
      <w:r>
        <w:t xml:space="preserve">Execution steps (as they appear in the app)</w:t>
      </w:r>
    </w:p>
    <w:p>
      <w:pPr>
        <w:pStyle w:val="FirstParagraph"/>
      </w:pPr>
      <w:r>
        <w:rPr>
          <w:bCs/>
          <w:b/>
        </w:rPr>
        <w:t xml:space="preserve">SE16N (SAP GUI):</w:t>
      </w:r>
      <w:r>
        <w:t xml:space="preserve"> </w:t>
      </w:r>
      <w:r>
        <w:t xml:space="preserve">Display table EKPO (purchase order line items) with fields WEPOS (goods receipt indicator) and REPOS (invoice receipt indicator) added via field selection — they are not on the default layout. Filter WEPOS blank to find lines configured for two-way match with no goods receipt expected. Add WERKS (plant) and re-run, since match configuration is set per plant, not company-wide. [Navigation: type SE16N in the command field, enter EKPO, use Change Field Selection to add WEPOS/REPOS to the display, set your date range, execute, then re-run grouped by WERKS.]</w:t>
      </w:r>
    </w:p>
    <w:p>
      <w:pPr>
        <w:pStyle w:val="BodyText"/>
      </w:pPr>
      <w:r>
        <w:rPr>
          <w:bCs/>
          <w:b/>
        </w:rPr>
        <w:t xml:space="preserve">SE01 / STMS (SAP GUI):</w:t>
      </w:r>
      <w:r>
        <w:t xml:space="preserve"> </w:t>
      </w:r>
      <w:r>
        <w:t xml:space="preserve">Pull the transport/change history for the two-way-match configuration to establish when it moved to production. [Navigation: type SE01 or STMS in the command field and review the change/transport log for the relevant configuration table.]</w:t>
      </w:r>
    </w:p>
    <w:p>
      <w:pPr>
        <w:pStyle w:val="BodyText"/>
      </w:pPr>
      <w:r>
        <w:rPr>
          <w:bCs/>
          <w:b/>
        </w:rPr>
        <w:t xml:space="preserve">SE16N (SAP GUI):</w:t>
      </w:r>
      <w:r>
        <w:t xml:space="preserve"> </w:t>
      </w:r>
      <w:r>
        <w:t xml:space="preserve">Display table RSEG (invoice line items) for your test period and select a sample with PO references. [Navigation: type SE16N, enter RSEG, set your date range, execute.]</w:t>
      </w:r>
    </w:p>
    <w:p>
      <w:pPr>
        <w:pStyle w:val="BodyText"/>
      </w:pPr>
      <w:r>
        <w:rPr>
          <w:bCs/>
          <w:b/>
        </w:rPr>
        <w:t xml:space="preserve">ME23N (SAP GUI):</w:t>
      </w:r>
      <w:r>
        <w:t xml:space="preserve"> </w:t>
      </w:r>
      <w:r>
        <w:t xml:space="preserve">Display the purchase order for each sampled invoice and open the Purchase Order History tab — confirm all three documents exist and check the posting order. [Navigation: type ME23N, enter the PO number, open the Purchase Order History tab.]</w:t>
      </w:r>
    </w:p>
    <w:p>
      <w:pPr>
        <w:pStyle w:val="BodyText"/>
      </w:pPr>
      <w:r>
        <w:rPr>
          <w:bCs/>
          <w:b/>
        </w:rPr>
        <w:t xml:space="preserve">MB51 (SAP GUI):</w:t>
      </w:r>
      <w:r>
        <w:t xml:space="preserve"> </w:t>
      </w:r>
      <w:r>
        <w:t xml:space="preserve">Pull the material document list as an independent check that the goods receipt is real. [Navigation: type MB51, enter the material/plant and date range, execute.]</w:t>
      </w:r>
    </w:p>
    <w:bookmarkEnd w:id="60"/>
    <w:bookmarkStart w:id="61" w:name="the-question-to-bring-3"/>
    <w:p>
      <w:pPr>
        <w:pStyle w:val="Heading4"/>
      </w:pPr>
      <w:r>
        <w:t xml:space="preserve">The question to bring</w:t>
      </w:r>
    </w:p>
    <w:p>
      <w:pPr>
        <w:pStyle w:val="BlockText"/>
      </w:pPr>
      <w:r>
        <w:t xml:space="preserve">Is three-way match configured everywhere it should be, or only where you sampled? What does the GR/IR aging tell you?</w:t>
      </w:r>
    </w:p>
    <w:p>
      <w:pPr>
        <w:pStyle w:val="FirstParagraph"/>
      </w:pPr>
      <w:r>
        <w:t xml:space="preserve">Decide your answer before the session — in Defend It, someone will ask it.</w:t>
      </w:r>
    </w:p>
    <w:bookmarkEnd w:id="61"/>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2026-10-21T18:12:34Z</dcterms:created>
  <dcterms:modified xsi:type="dcterms:W3CDTF">2026-10-21T18:12:34Z</dcterms:modified>
</cp:coreProperties>
</file>

<file path=docProps/custom.xml><?xml version="1.0" encoding="utf-8"?>
<Properties xmlns="http://schemas.openxmlformats.org/officeDocument/2006/custom-properties" xmlns:vt="http://schemas.openxmlformats.org/officeDocument/2006/docPropsVTypes"/>
</file>