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reading-pack-week-4"/>
    <w:p>
      <w:pPr>
        <w:pStyle w:val="Heading1"/>
      </w:pPr>
      <w:r>
        <w:t xml:space="preserve">Reading Pack — Week 4</w:t>
      </w:r>
    </w:p>
    <w:p>
      <w:pPr>
        <w:pStyle w:val="FirstParagraph"/>
      </w:pPr>
      <w:r>
        <w:rPr>
          <w:iCs/>
          <w:i/>
        </w:rPr>
        <w:t xml:space="preserve">Sessions 13–16 · The Full Sweep · Thornfield Industrial Group</w:t>
      </w:r>
    </w:p>
    <w:bookmarkStart w:id="20" w:name="before-you-start"/>
    <w:p>
      <w:pPr>
        <w:pStyle w:val="Heading2"/>
      </w:pPr>
      <w:r>
        <w:t xml:space="preserve">Before you start</w:t>
      </w:r>
    </w:p>
    <w:p>
      <w:pPr>
        <w:pStyle w:val="FirstParagraph"/>
      </w:pPr>
      <w:r>
        <w:t xml:space="preserve">Week 4 is the business-process layer above ITGC — matching, payments, vendor bank changes, tolerances — and the start of Order-to-Cash. Workpaper 2 comes back marked in session 13.</w:t>
      </w:r>
    </w:p>
    <w:p>
      <w:pPr>
        <w:pStyle w:val="BodyText"/>
      </w:pPr>
      <w:r>
        <w:t xml:space="preserve">Read each session's section</w:t>
      </w:r>
      <w:r>
        <w:t xml:space="preserve"> </w:t>
      </w:r>
      <w:r>
        <w:rPr>
          <w:bCs/>
          <w:b/>
        </w:rPr>
        <w:t xml:space="preserve">before</w:t>
      </w:r>
      <w:r>
        <w:t xml:space="preserve"> </w:t>
      </w:r>
      <w:r>
        <w:t xml:space="preserve">that session — about 45–60 minutes per session. The course app has the exact screens; this pack has the reasoning the app has no field for: the control objective, the population, what a reviewer will ask, and what to conclude.</w:t>
      </w:r>
    </w:p>
    <w:p>
      <w:pPr>
        <w:pStyle w:val="BodyText"/>
      </w:pPr>
      <w:r>
        <w:rPr>
          <w:bCs/>
          <w:b/>
        </w:rPr>
        <w:t xml:space="preserve">Graded work this week:</w:t>
      </w:r>
    </w:p>
    <w:p>
      <w:pPr>
        <w:numPr>
          <w:ilvl w:val="0"/>
          <w:numId w:val="1001"/>
        </w:numPr>
        <w:pStyle w:val="Compact"/>
      </w:pPr>
      <w:r>
        <w:t xml:space="preserve">Session 13: Workpaper 2 returned marked</w:t>
      </w:r>
    </w:p>
    <w:bookmarkEnd w:id="20"/>
    <w:bookmarkStart w:id="26" w:name="X44d233559558a7f5e2baed96fc781ab8781d204"/>
    <w:p>
      <w:pPr>
        <w:pStyle w:val="Heading2"/>
      </w:pPr>
      <w:r>
        <w:t xml:space="preserve">Session 13 — Tue · Book 25 — The File That Left Twice</w:t>
      </w:r>
    </w:p>
    <w:bookmarkStart w:id="25" w:name="book-25-the-file-that-left-twice"/>
    <w:p>
      <w:pPr>
        <w:pStyle w:val="Heading3"/>
      </w:pPr>
      <w:r>
        <w:t xml:space="preserve">Book 25 — The File That Left Twice</w:t>
      </w:r>
    </w:p>
    <w:p>
      <w:pPr>
        <w:pStyle w:val="FirstParagraph"/>
      </w:pPr>
      <w:r>
        <w:rPr>
          <w:iCs/>
          <w:i/>
        </w:rPr>
        <w:t xml:space="preserve">Part VII · Payment Run Duplicate &amp; SoD Testing</w:t>
      </w:r>
    </w:p>
    <w:p>
      <w:pPr>
        <w:pStyle w:val="BodyText"/>
      </w:pPr>
      <w:r>
        <w:rPr>
          <w:bCs/>
          <w:b/>
        </w:rPr>
        <w:t xml:space="preserve">Scope area: Payment Run Duplicate &amp; SoD Testing</w:t>
      </w:r>
    </w:p>
    <w:p>
      <w:pPr>
        <w:pStyle w:val="BodyText"/>
      </w:pPr>
      <w:r>
        <w:t xml:space="preserve">Test whether the payment run process can produce — and would catch — a duplicate bank file transmission, and confirm proposal creation and release are performed by different people.</w:t>
      </w:r>
    </w:p>
    <w:bookmarkStart w:id="21" w:name="what-to-watch-for"/>
    <w:p>
      <w:pPr>
        <w:pStyle w:val="Heading5"/>
      </w:pPr>
      <w:r>
        <w:t xml:space="preserve">What to watch for</w:t>
      </w:r>
    </w:p>
    <w:p>
      <w:pPr>
        <w:pStyle w:val="FirstParagraph"/>
      </w:pPr>
      <w:r>
        <w:t xml:space="preserve">The population is the payment run log, not the list of approved proposals — a run executed without ever going through the approved-proposal list will not appear there, so starting from the approved list will understate what actually happened.</w:t>
      </w:r>
    </w:p>
    <w:bookmarkEnd w:id="21"/>
    <w:bookmarkStart w:id="22" w:name="evidence-you-will-need"/>
    <w:p>
      <w:pPr>
        <w:pStyle w:val="Heading5"/>
      </w:pPr>
      <w:r>
        <w:t xml:space="preserve">Evidence you will need</w:t>
      </w:r>
    </w:p>
    <w:p>
      <w:pPr>
        <w:pStyle w:val="FirstParagraph"/>
      </w:pPr>
      <w:r>
        <w:t xml:space="preserve">The payment run list showing proposal creator and run executor side by side, the count of runs where those two names match, and the transmission record count per file from FDTA/DMEE.</w:t>
      </w:r>
    </w:p>
    <w:bookmarkEnd w:id="22"/>
    <w:bookmarkStart w:id="23" w:name="X1c89ceffc96a65f9f6804de866e3ed6ca110b37"/>
    <w:p>
      <w:pPr>
        <w:pStyle w:val="Heading5"/>
      </w:pPr>
      <w:r>
        <w:t xml:space="preserve">Execution steps (as they appear in the app)</w:t>
      </w:r>
    </w:p>
    <w:p>
      <w:pPr>
        <w:pStyle w:val="FirstParagraph"/>
      </w:pPr>
      <w:r>
        <w:rPr>
          <w:bCs/>
          <w:b/>
        </w:rPr>
        <w:t xml:space="preserve">F110 (SAP GUI):</w:t>
      </w:r>
      <w:r>
        <w:t xml:space="preserve"> </w:t>
      </w:r>
      <w:r>
        <w:t xml:space="preserve">Open the payment run screen for your period. Touch nothing that executes — this screen moves money. [Navigation: type F110 in the command field, open Edit → Proposal → Proposal list or the payment run log, and set your period.]</w:t>
      </w:r>
    </w:p>
    <w:p>
      <w:pPr>
        <w:pStyle w:val="BodyText"/>
      </w:pPr>
      <w:r>
        <w:rPr>
          <w:bCs/>
          <w:b/>
        </w:rPr>
        <w:t xml:space="preserve">F110 log (SAP GUI):</w:t>
      </w:r>
      <w:r>
        <w:t xml:space="preserve"> </w:t>
      </w:r>
      <w:r>
        <w:t xml:space="preserve">Record four things per run: run date/ID, who created the proposal, who released it, and the total value. Compare creator and releaser — a match is a segregation-of-duties failure on the company's largest single money movement.</w:t>
      </w:r>
    </w:p>
    <w:p>
      <w:pPr>
        <w:pStyle w:val="BodyText"/>
      </w:pPr>
      <w:r>
        <w:rPr>
          <w:bCs/>
          <w:b/>
        </w:rPr>
        <w:t xml:space="preserve">SE16N (SAP GUI):</w:t>
      </w:r>
      <w:r>
        <w:t xml:space="preserve"> </w:t>
      </w:r>
      <w:r>
        <w:t xml:space="preserve">Display tables REGUH (payment run header) and REGUP (line items) to get the population independent of the F110 screen. [Navigation: type SE16N, enter REGUH or REGUP, set your date range, execute.]</w:t>
      </w:r>
    </w:p>
    <w:p>
      <w:pPr>
        <w:pStyle w:val="BodyText"/>
      </w:pPr>
      <w:r>
        <w:rPr>
          <w:bCs/>
          <w:b/>
        </w:rPr>
        <w:t xml:space="preserve">FDTA / DMEE (SAP GUI):</w:t>
      </w:r>
      <w:r>
        <w:t xml:space="preserve"> </w:t>
      </w:r>
      <w:r>
        <w:t xml:space="preserve">Check how many transmission records each payment file has — one is correct, more than one means the file was sent twice. [Navigation: type FDTA in the command field, or review the DMEE tree for the relevant payment medium format.]</w:t>
      </w:r>
    </w:p>
    <w:p>
      <w:pPr>
        <w:pStyle w:val="BodyText"/>
      </w:pPr>
      <w:r>
        <w:rPr>
          <w:bCs/>
          <w:b/>
        </w:rPr>
        <w:t xml:space="preserve">SM37 (SAP GUI):</w:t>
      </w:r>
      <w:r>
        <w:t xml:space="preserve"> </w:t>
      </w:r>
      <w:r>
        <w:t xml:space="preserve">Check the transmission job log — a re-run is visible here as a second execution of the same job. [Navigation: type SM37, enter the job name and date range, execute.]</w:t>
      </w:r>
    </w:p>
    <w:bookmarkEnd w:id="23"/>
    <w:bookmarkStart w:id="24" w:name="the-question-to-bring"/>
    <w:p>
      <w:pPr>
        <w:pStyle w:val="Heading4"/>
      </w:pPr>
      <w:r>
        <w:t xml:space="preserve">The question to bring</w:t>
      </w:r>
    </w:p>
    <w:p>
      <w:pPr>
        <w:pStyle w:val="BlockText"/>
      </w:pPr>
      <w:r>
        <w:t xml:space="preserve">Prove proposal and execution were done by different people — from the tables, not the summary screen.</w:t>
      </w:r>
    </w:p>
    <w:p>
      <w:pPr>
        <w:pStyle w:val="FirstParagraph"/>
      </w:pPr>
      <w:r>
        <w:t xml:space="preserve">Decide your answer before the session — in Defend It, someone will ask it.</w:t>
      </w:r>
    </w:p>
    <w:bookmarkEnd w:id="24"/>
    <w:bookmarkEnd w:id="25"/>
    <w:bookmarkEnd w:id="26"/>
    <w:bookmarkStart w:id="32" w:name="Xce8ac0776b48ed36185439a96c27c1c4a3f5b36"/>
    <w:p>
      <w:pPr>
        <w:pStyle w:val="Heading2"/>
      </w:pPr>
      <w:r>
        <w:t xml:space="preserve">Session 14 — Thu · Book 26 — The Bank Detail Nobody Approved</w:t>
      </w:r>
    </w:p>
    <w:bookmarkStart w:id="31" w:name="book-26-the-bank-detail-nobody-approved"/>
    <w:p>
      <w:pPr>
        <w:pStyle w:val="Heading3"/>
      </w:pPr>
      <w:r>
        <w:t xml:space="preserve">Book 26 — The Bank Detail Nobody Approved</w:t>
      </w:r>
    </w:p>
    <w:p>
      <w:pPr>
        <w:pStyle w:val="FirstParagraph"/>
      </w:pPr>
      <w:r>
        <w:rPr>
          <w:iCs/>
          <w:i/>
        </w:rPr>
        <w:t xml:space="preserve">Part VII · Vendor Bank Detail Change Testing</w:t>
      </w:r>
    </w:p>
    <w:p>
      <w:pPr>
        <w:pStyle w:val="BodyText"/>
      </w:pPr>
      <w:r>
        <w:rPr>
          <w:bCs/>
          <w:b/>
        </w:rPr>
        <w:t xml:space="preserve">Scope area: Vendor Bank Detail Change Testing</w:t>
      </w:r>
    </w:p>
    <w:p>
      <w:pPr>
        <w:pStyle w:val="BodyText"/>
      </w:pPr>
      <w:r>
        <w:t xml:space="preserve">Confirm that changes to a vendor's bank details are independently approved before the next payment, for every company code — not just the ones covered when workflow was first configured.</w:t>
      </w:r>
    </w:p>
    <w:bookmarkStart w:id="27" w:name="what-to-watch-for-1"/>
    <w:p>
      <w:pPr>
        <w:pStyle w:val="Heading5"/>
      </w:pPr>
      <w:r>
        <w:t xml:space="preserve">What to watch for</w:t>
      </w:r>
    </w:p>
    <w:p>
      <w:pPr>
        <w:pStyle w:val="FirstParagraph"/>
      </w:pPr>
      <w:r>
        <w:t xml:space="preserve">This needs no privileged access, only the ability to edit a master record — and the population must come from the change documents, not the workflow log, since a change that never routed for approval will not appear in the log at all.</w:t>
      </w:r>
    </w:p>
    <w:bookmarkEnd w:id="27"/>
    <w:bookmarkStart w:id="28" w:name="evidence-you-will-need-1"/>
    <w:p>
      <w:pPr>
        <w:pStyle w:val="Heading5"/>
      </w:pPr>
      <w:r>
        <w:t xml:space="preserve">Evidence you will need</w:t>
      </w:r>
    </w:p>
    <w:p>
      <w:pPr>
        <w:pStyle w:val="FirstParagraph"/>
      </w:pPr>
      <w:r>
        <w:t xml:space="preserve">The CDPOS extract of bank-field changes with old/new values, the corresponding workflow approval status for each, and the day-count from each change to the next payment to that vendor.</w:t>
      </w:r>
    </w:p>
    <w:bookmarkEnd w:id="28"/>
    <w:bookmarkStart w:id="29" w:name="X18ce9bc32099f3a79b8dbf3bc1f90b3b845ac76"/>
    <w:p>
      <w:pPr>
        <w:pStyle w:val="Heading5"/>
      </w:pPr>
      <w:r>
        <w:t xml:space="preserve">Execution steps (as they appear in the app)</w:t>
      </w:r>
    </w:p>
    <w:p>
      <w:pPr>
        <w:pStyle w:val="FirstParagraph"/>
      </w:pPr>
      <w:r>
        <w:rPr>
          <w:bCs/>
          <w:b/>
        </w:rPr>
        <w:t xml:space="preserve">SE16N (SAP GUI):</w:t>
      </w:r>
      <w:r>
        <w:t xml:space="preserve"> </w:t>
      </w:r>
      <w:r>
        <w:t xml:space="preserve">Display table CDHDR for the vendor/business partner object class over your date range — this tells you a change happened, not what changed. [Navigation: type SE16N, enter CDHDR, set your date range, execute.]</w:t>
      </w:r>
    </w:p>
    <w:p>
      <w:pPr>
        <w:pStyle w:val="BodyText"/>
      </w:pPr>
      <w:r>
        <w:rPr>
          <w:bCs/>
          <w:b/>
        </w:rPr>
        <w:t xml:space="preserve">SE16N (SAP GUI):</w:t>
      </w:r>
      <w:r>
        <w:t xml:space="preserve"> </w:t>
      </w:r>
      <w:r>
        <w:t xml:space="preserve">Display table CDPOS for field-level detail. Filter on bank-related field names and record field, old value, new value, user, and date/time. [Navigation: type SE16N, enter CDPOS, filter on the bank fields, execute.]</w:t>
      </w:r>
    </w:p>
    <w:p>
      <w:pPr>
        <w:pStyle w:val="BodyText"/>
      </w:pPr>
      <w:r>
        <w:rPr>
          <w:bCs/>
          <w:b/>
        </w:rPr>
        <w:t xml:space="preserve">FK04 / BP (SAP GUI):</w:t>
      </w:r>
      <w:r>
        <w:t xml:space="preserve"> </w:t>
      </w:r>
      <w:r>
        <w:t xml:space="preserve">Cross-check one vendor via change display as a readable confirmation of the CDPOS extract. [Navigation: type FK04 or BP, enter the vendor, open change display.]</w:t>
      </w:r>
    </w:p>
    <w:p>
      <w:pPr>
        <w:pStyle w:val="BodyText"/>
      </w:pPr>
      <w:r>
        <w:rPr>
          <w:bCs/>
          <w:b/>
        </w:rPr>
        <w:t xml:space="preserve">SWI1 (SAP GUI):</w:t>
      </w:r>
      <w:r>
        <w:t xml:space="preserve"> </w:t>
      </w:r>
      <w:r>
        <w:t xml:space="preserve">Check the workflow log for each change — confirm an approval exists and that the approver is not the requester. [Navigation: type SWI1, filter by object type and date, review the approval trail.]</w:t>
      </w:r>
    </w:p>
    <w:p>
      <w:pPr>
        <w:pStyle w:val="BodyText"/>
      </w:pPr>
      <w:r>
        <w:rPr>
          <w:bCs/>
          <w:b/>
        </w:rPr>
        <w:t xml:space="preserve">REGUP (SAP GUI):</w:t>
      </w:r>
      <w:r>
        <w:t xml:space="preserve"> </w:t>
      </w:r>
      <w:r>
        <w:t xml:space="preserve">For each bank-detail change, find the next payment to that vendor and measure the gap in days. [Navigation: via SE16N table REGUP, filter by vendor and date after the change date.]</w:t>
      </w:r>
    </w:p>
    <w:bookmarkEnd w:id="29"/>
    <w:bookmarkStart w:id="30" w:name="the-question-to-bring-1"/>
    <w:p>
      <w:pPr>
        <w:pStyle w:val="Heading4"/>
      </w:pPr>
      <w:r>
        <w:t xml:space="preserve">The question to bring</w:t>
      </w:r>
    </w:p>
    <w:p>
      <w:pPr>
        <w:pStyle w:val="BlockText"/>
      </w:pPr>
      <w:r>
        <w:t xml:space="preserve">Why did you build the population from change documents instead of the workflow log? What is the day-count to the next payment?</w:t>
      </w:r>
    </w:p>
    <w:p>
      <w:pPr>
        <w:pStyle w:val="FirstParagraph"/>
      </w:pPr>
      <w:r>
        <w:t xml:space="preserve">Decide your answer before the session — in Defend It, someone will ask it.</w:t>
      </w:r>
    </w:p>
    <w:bookmarkEnd w:id="30"/>
    <w:bookmarkEnd w:id="31"/>
    <w:bookmarkEnd w:id="32"/>
    <w:bookmarkStart w:id="38" w:name="X1dc6dd4459f2d0850f292ca0ca60922d469f660"/>
    <w:p>
      <w:pPr>
        <w:pStyle w:val="Heading2"/>
      </w:pPr>
      <w:r>
        <w:t xml:space="preserve">Session 15 — Sat · Book 27 — The Tolerance That Swallowed It</w:t>
      </w:r>
    </w:p>
    <w:bookmarkStart w:id="37" w:name="book-27-the-tolerance-that-swallowed-it"/>
    <w:p>
      <w:pPr>
        <w:pStyle w:val="Heading3"/>
      </w:pPr>
      <w:r>
        <w:t xml:space="preserve">Book 27 — The Tolerance That Swallowed It</w:t>
      </w:r>
    </w:p>
    <w:p>
      <w:pPr>
        <w:pStyle w:val="FirstParagraph"/>
      </w:pPr>
      <w:r>
        <w:rPr>
          <w:iCs/>
          <w:i/>
        </w:rPr>
        <w:t xml:space="preserve">Part VII · Invoice Price Tolerance Testing</w:t>
      </w:r>
    </w:p>
    <w:p>
      <w:pPr>
        <w:pStyle w:val="BodyText"/>
      </w:pPr>
      <w:r>
        <w:rPr>
          <w:bCs/>
          <w:b/>
        </w:rPr>
        <w:t xml:space="preserve">Scope area: Invoice Price Tolerance Testing</w:t>
      </w:r>
    </w:p>
    <w:p>
      <w:pPr>
        <w:pStyle w:val="BodyText"/>
      </w:pPr>
      <w:r>
        <w:t xml:space="preserve">Test whether the invoice price tolerance — both percentage and absolute limits — is still appropriate, and confirm it has not been quietly absorbing variances that should have been blocked.</w:t>
      </w:r>
    </w:p>
    <w:bookmarkStart w:id="33" w:name="what-to-watch-for-2"/>
    <w:p>
      <w:pPr>
        <w:pStyle w:val="Heading5"/>
      </w:pPr>
      <w:r>
        <w:t xml:space="preserve">What to watch for</w:t>
      </w:r>
    </w:p>
    <w:p>
      <w:pPr>
        <w:pStyle w:val="FirstParagraph"/>
      </w:pPr>
      <w:r>
        <w:t xml:space="preserve">A tolerance set wide enough will produce zero blocked invoices by construction — an empty blocked-invoice list is not evidence the control works, it is the reason you need to test the configuration itself.</w:t>
      </w:r>
    </w:p>
    <w:bookmarkEnd w:id="33"/>
    <w:bookmarkStart w:id="34" w:name="evidence-you-will-need-2"/>
    <w:p>
      <w:pPr>
        <w:pStyle w:val="Heading5"/>
      </w:pPr>
      <w:r>
        <w:t xml:space="preserve">Evidence you will need</w:t>
      </w:r>
    </w:p>
    <w:p>
      <w:pPr>
        <w:pStyle w:val="FirstParagraph"/>
      </w:pPr>
      <w:r>
        <w:t xml:space="preserve">The OMR6 configuration screenshot (percentage and absolute limits, with change history or a note that none exists), and a variance list sorted by absolute value showing the concentration of invoices sitting just under the absolute limit.</w:t>
      </w:r>
    </w:p>
    <w:bookmarkEnd w:id="34"/>
    <w:bookmarkStart w:id="35" w:name="X1ad0ee9c5b689423e95fe83bb289136c505c6fd"/>
    <w:p>
      <w:pPr>
        <w:pStyle w:val="Heading5"/>
      </w:pPr>
      <w:r>
        <w:t xml:space="preserve">Execution steps (as they appear in the app)</w:t>
      </w:r>
    </w:p>
    <w:p>
      <w:pPr>
        <w:pStyle w:val="FirstParagraph"/>
      </w:pPr>
      <w:r>
        <w:rPr>
          <w:bCs/>
          <w:b/>
        </w:rPr>
        <w:t xml:space="preserve">OMR6 (SAP GUI):</w:t>
      </w:r>
      <w:r>
        <w:t xml:space="preserve"> </w:t>
      </w:r>
      <w:r>
        <w:t xml:space="preserve">Display tolerance limits for invoice verification. Record the tolerance keys, company codes, and both the percentage and absolute columns, plus change history. [Navigation: type OMR6 in the command field, review the tolerance key table, note the change history if available.]</w:t>
      </w:r>
    </w:p>
    <w:p>
      <w:pPr>
        <w:pStyle w:val="BodyText"/>
      </w:pPr>
      <w:r>
        <w:rPr>
          <w:bCs/>
          <w:b/>
        </w:rPr>
        <w:t xml:space="preserve">SE16N (SAP GUI):</w:t>
      </w:r>
      <w:r>
        <w:t xml:space="preserve"> </w:t>
      </w:r>
      <w:r>
        <w:t xml:space="preserve">Display table RSEG for your period. Compare invoice value against PO value per line and calculate the variance. [Navigation: type SE16N, enter RSEG, set your date range, execute.]</w:t>
      </w:r>
    </w:p>
    <w:p>
      <w:pPr>
        <w:pStyle w:val="BodyText"/>
      </w:pPr>
      <w:r>
        <w:rPr>
          <w:bCs/>
          <w:b/>
        </w:rPr>
        <w:t xml:space="preserve">Variance sort (Excel / SAP GUI export):</w:t>
      </w:r>
      <w:r>
        <w:t xml:space="preserve"> </w:t>
      </w:r>
      <w:r>
        <w:t xml:space="preserve">Sort the variance list by percentage first, then re-sort by absolute value — look for a cluster sitting just under the absolute limit. Count and total them, and check whether the same vendors recur.</w:t>
      </w:r>
    </w:p>
    <w:p>
      <w:pPr>
        <w:pStyle w:val="BodyText"/>
      </w:pPr>
      <w:r>
        <w:rPr>
          <w:bCs/>
          <w:b/>
        </w:rPr>
        <w:t xml:space="preserve">MRBR (SAP GUI):</w:t>
      </w:r>
      <w:r>
        <w:t xml:space="preserve"> </w:t>
      </w:r>
      <w:r>
        <w:t xml:space="preserve">Display the blocked invoice list. Do not release anything — this confirms only what the control actually caught. [Navigation: type MRBR in the command field, set your selection criteria, execute in display mode.]</w:t>
      </w:r>
    </w:p>
    <w:bookmarkEnd w:id="35"/>
    <w:bookmarkStart w:id="36" w:name="the-question-to-bring-2"/>
    <w:p>
      <w:pPr>
        <w:pStyle w:val="Heading4"/>
      </w:pPr>
      <w:r>
        <w:t xml:space="preserve">The question to bring</w:t>
      </w:r>
    </w:p>
    <w:p>
      <w:pPr>
        <w:pStyle w:val="BlockText"/>
      </w:pPr>
      <w:r>
        <w:t xml:space="preserve">An empty blocked-invoice list — is the control working, or set too wide to catch anything? Who releases what it does block?</w:t>
      </w:r>
    </w:p>
    <w:p>
      <w:pPr>
        <w:pStyle w:val="FirstParagraph"/>
      </w:pPr>
      <w:r>
        <w:t xml:space="preserve">Decide your answer before the session — in Defend It, someone will ask it.</w:t>
      </w:r>
    </w:p>
    <w:bookmarkEnd w:id="36"/>
    <w:bookmarkEnd w:id="37"/>
    <w:bookmarkEnd w:id="38"/>
    <w:bookmarkStart w:id="44" w:name="session-16-sun-book-29-the-held-order"/>
    <w:p>
      <w:pPr>
        <w:pStyle w:val="Heading2"/>
      </w:pPr>
      <w:r>
        <w:t xml:space="preserve">Session 16 — Sun · Book 29 — The Held Order</w:t>
      </w:r>
    </w:p>
    <w:bookmarkStart w:id="43" w:name="book-29-the-held-order"/>
    <w:p>
      <w:pPr>
        <w:pStyle w:val="Heading3"/>
      </w:pPr>
      <w:r>
        <w:t xml:space="preserve">Book 29 — The Held Order</w:t>
      </w:r>
    </w:p>
    <w:p>
      <w:pPr>
        <w:pStyle w:val="FirstParagraph"/>
      </w:pPr>
      <w:r>
        <w:rPr>
          <w:iCs/>
          <w:i/>
        </w:rPr>
        <w:t xml:space="preserve">Part VIII · Credit Management &amp; Billing-Block Release Testing</w:t>
      </w:r>
    </w:p>
    <w:p>
      <w:pPr>
        <w:pStyle w:val="BodyText"/>
      </w:pPr>
      <w:r>
        <w:rPr>
          <w:bCs/>
          <w:b/>
        </w:rPr>
        <w:t xml:space="preserve">Scope area: Credit Management &amp; Billing-Block Release Testing</w:t>
      </w:r>
    </w:p>
    <w:p>
      <w:pPr>
        <w:pStyle w:val="BodyText"/>
      </w:pPr>
      <w:r>
        <w:t xml:space="preserve">Confirm that sales orders blocked for exceeding a customer's credit limit are released only by someone independent of the order's creator, with documented justification on file — not routinely overridden to keep revenue moving.</w:t>
      </w:r>
    </w:p>
    <w:bookmarkStart w:id="39" w:name="what-to-watch-for-3"/>
    <w:p>
      <w:pPr>
        <w:pStyle w:val="Heading5"/>
      </w:pPr>
      <w:r>
        <w:t xml:space="preserve">What to watch for</w:t>
      </w:r>
    </w:p>
    <w:p>
      <w:pPr>
        <w:pStyle w:val="FirstParagraph"/>
      </w:pPr>
      <w:r>
        <w:t xml:space="preserve">A credit block that gets released the same day, every time, by the same person who wrote the order, is not a working control — it's a formality the order has to walk through on its way to happening anyway. Don't stop at confirming the block existed; confirm who broke it, how fast, and on what authority.</w:t>
      </w:r>
    </w:p>
    <w:bookmarkEnd w:id="39"/>
    <w:bookmarkStart w:id="40" w:name="evidence-you-will-need-3"/>
    <w:p>
      <w:pPr>
        <w:pStyle w:val="Heading5"/>
      </w:pPr>
      <w:r>
        <w:t xml:space="preserve">Evidence you will need</w:t>
      </w:r>
    </w:p>
    <w:p>
      <w:pPr>
        <w:pStyle w:val="FirstParagraph"/>
      </w:pPr>
      <w:r>
        <w:t xml:space="preserve">The VBUK-based population of credit-blocked orders, the release history and releaser identity per order, the creator-vs-releaser comparison, and a credit-master screenshot for any order where the limit itself may have moved just ahead of the block.</w:t>
      </w:r>
    </w:p>
    <w:bookmarkEnd w:id="40"/>
    <w:bookmarkStart w:id="41" w:name="X8f1a6327af44607f0bebd809d58deb4bd7896bf"/>
    <w:p>
      <w:pPr>
        <w:pStyle w:val="Heading5"/>
      </w:pPr>
      <w:r>
        <w:t xml:space="preserve">Execution steps (as they appear in the app)</w:t>
      </w:r>
    </w:p>
    <w:p>
      <w:pPr>
        <w:pStyle w:val="FirstParagraph"/>
      </w:pPr>
      <w:r>
        <w:rPr>
          <w:bCs/>
          <w:b/>
        </w:rPr>
        <w:t xml:space="preserve">VKM4 (SAP GUI):</w:t>
      </w:r>
      <w:r>
        <w:t xml:space="preserve"> </w:t>
      </w:r>
      <w:r>
        <w:t xml:space="preserve">Type VKM4 into the transaction code field at the top-left of the SAP GUI screen and press Enter. Work through the blocked-document worklist and open each document's release history. [Navigation: from the SAP Easy Access menu or command field, enter VKM4, set your date range on the selection screen, and press F8. Double-click a document to see its release status and history.]</w:t>
      </w:r>
    </w:p>
    <w:p>
      <w:pPr>
        <w:pStyle w:val="BodyText"/>
      </w:pPr>
      <w:r>
        <w:rPr>
          <w:bCs/>
          <w:b/>
        </w:rPr>
        <w:t xml:space="preserve">SE16N (SAP GUI):</w:t>
      </w:r>
      <w:r>
        <w:t xml:space="preserve"> </w:t>
      </w:r>
      <w:r>
        <w:t xml:space="preserve">Display table VBUK directly to pull your own population rather than relying on VKM4's default worklist filters. [Navigation: type SE16N, enter VBUK, filter on CMGST (credit status) and your date range, execute.]</w:t>
      </w:r>
    </w:p>
    <w:p>
      <w:pPr>
        <w:pStyle w:val="BodyText"/>
      </w:pPr>
      <w:r>
        <w:rPr>
          <w:bCs/>
          <w:b/>
        </w:rPr>
        <w:t xml:space="preserve">VA02 / VA03 (SAP GUI):</w:t>
      </w:r>
      <w:r>
        <w:t xml:space="preserve"> </w:t>
      </w:r>
      <w:r>
        <w:t xml:space="preserve">Display the sales order to confirm who created it. [Navigation: type VA03 (display) in the command field, enter the sales order number, press Enter; check the document header's Created By field.]</w:t>
      </w:r>
    </w:p>
    <w:p>
      <w:pPr>
        <w:pStyle w:val="BodyText"/>
      </w:pPr>
      <w:r>
        <w:rPr>
          <w:bCs/>
          <w:b/>
        </w:rPr>
        <w:t xml:space="preserve">FD33 / BP (SAP GUI):</w:t>
      </w:r>
      <w:r>
        <w:t xml:space="preserve"> </w:t>
      </w:r>
      <w:r>
        <w:t xml:space="preserve">Display the customer's credit master data — credit limit, control area, and any recent changes to the limit. [Navigation: type FD33 (or BP for the Business Partner view), enter the customer number, and open the credit management/credit limit view.]</w:t>
      </w:r>
    </w:p>
    <w:p>
      <w:pPr>
        <w:pStyle w:val="BodyText"/>
      </w:pPr>
      <w:r>
        <w:rPr>
          <w:bCs/>
          <w:b/>
        </w:rPr>
        <w:t xml:space="preserve">— (—):</w:t>
      </w:r>
      <w:r>
        <w:t xml:space="preserve"> </w:t>
      </w:r>
      <w:r>
        <w:t xml:space="preserve">For any release with no documented justification on file, escalate rather than noting it and moving on — a pattern of silent overrides usually means the credit-block control has quietly become theater across more than just the sampled orders.</w:t>
      </w:r>
    </w:p>
    <w:bookmarkEnd w:id="41"/>
    <w:bookmarkStart w:id="42" w:name="the-question-to-bring-3"/>
    <w:p>
      <w:pPr>
        <w:pStyle w:val="Heading4"/>
      </w:pPr>
      <w:r>
        <w:t xml:space="preserve">The question to bring</w:t>
      </w:r>
    </w:p>
    <w:p>
      <w:pPr>
        <w:pStyle w:val="BlockText"/>
      </w:pPr>
      <w:r>
        <w:t xml:space="preserve">Who released each credit block, and was it the order's own creator? Is a released block a working control?</w:t>
      </w:r>
    </w:p>
    <w:p>
      <w:pPr>
        <w:pStyle w:val="FirstParagraph"/>
      </w:pPr>
      <w:r>
        <w:t xml:space="preserve">Decide your answer before the session — in Defend It, someone will ask it.</w:t>
      </w:r>
    </w:p>
    <w:bookmarkEnd w:id="42"/>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cs="Calibri" w:hAnsi="Calibri"/>
      <w:color w:val="1F2933"/>
      <w:sz w:val="21"/>
      <w:szCs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keepNext/>
      <w:spacing w:after="80" w:before="0"/>
      <w:pBdr>
        <w:bottom w:color="C87F16" w:space="6" w:sz="18" w:val="single"/>
      </w:pBdr>
    </w:pPr>
    <w:rPr>
      <w:rFonts w:ascii="Cambria" w:hAnsi="Cambria"/>
      <w:b/>
      <w:color w:val="12203A"/>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qFormat/>
    <w:pPr>
      <w:keepNext/>
      <w:spacing w:after="140" w:before="360"/>
      <w:pBdr>
        <w:bottom w:color="D6DEEA" w:space="5" w:sz="8" w:val="single"/>
      </w:pBdr>
      <w:outlineLvl w:val="0"/>
    </w:pPr>
    <w:rPr>
      <w:rFonts w:ascii="Cambria" w:hAnsi="Cambria"/>
      <w:b/>
      <w:color w:val="1B3358"/>
      <w:sz w:val="30"/>
      <w:szCs w:val="30"/>
    </w:rPr>
  </w:style>
  <w:style w:styleId="Heading2" w:type="paragraph">
    <w:name w:val="heading 2"/>
    <w:basedOn w:val="Normal"/>
    <w:next w:val="Normal"/>
    <w:qFormat/>
    <w:pPr>
      <w:keepNext/>
      <w:spacing w:after="100" w:before="280"/>
      <w:outlineLvl w:val="1"/>
    </w:pPr>
    <w:rPr>
      <w:rFonts w:ascii="Cambria" w:hAnsi="Cambria"/>
      <w:b/>
      <w:color w:val="1B3358"/>
      <w:sz w:val="24"/>
      <w:szCs w:val="24"/>
    </w:rPr>
  </w:style>
  <w:style w:styleId="Heading3" w:type="paragraph">
    <w:name w:val="heading 3"/>
    <w:basedOn w:val="Normal"/>
    <w:next w:val="Normal"/>
    <w:qFormat/>
    <w:pPr>
      <w:keepNext/>
      <w:spacing w:after="80" w:before="240"/>
      <w:outlineLvl w:val="2"/>
    </w:pPr>
    <w:rPr>
      <w:rFonts w:ascii="Calibri" w:hAnsi="Calibri"/>
      <w:b/>
      <w:color w:val="C87F16"/>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pPr>
      <w:pBdr>
        <w:left w:color="C87F16" w:space="10" w:sz="18" w:val="single"/>
      </w:pBdr>
      <w:ind w:left="288"/>
      <w:spacing w:after="140" w:before="140"/>
    </w:pPr>
    <w:rPr>
      <w:i/>
      <w:color w:val="5A6B85"/>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59"/>
    <w:pPr>
      <w:spacing w:after="40" w:before="40" w:line="240" w:lineRule="auto"/>
    </w:pPr>
    <w:rPr>
      <w:rFonts w:ascii="Calibri" w:hAnsi="Calibri"/>
      <w:sz w:val="19"/>
      <w:szCs w:val="19"/>
    </w:rPr>
    <w:tblPr>
      <w:tblBorders>
        <w:top w:color="D6DEEA" w:space="0" w:sz="4" w:val="single"/>
        <w:left w:color="auto" w:space="0" w:sz="0" w:val="none"/>
        <w:bottom w:color="D6DEEA" w:space="0" w:sz="4" w:val="single"/>
        <w:right w:color="auto" w:space="0" w:sz="0" w:val="none"/>
        <w:insideH w:color="D6DEEA" w:space="0" w:sz="4" w:val="single"/>
        <w:insideV w:color="auto" w:space="0" w:sz="0" w:val="none"/>
      </w:tblBorders>
      <w:tblCellMar>
        <w:top w:type="dxa" w:w="72"/>
        <w:left w:type="dxa" w:w="108"/>
        <w:bottom w:type="dxa" w:w="72"/>
        <w:right w:type="dxa" w:w="108"/>
      </w:tblCellMar>
    </w:tblPr>
    <w:tblStylePr w:type="firstRow">
      <w:pPr>
        <w:spacing w:after="60" w:before="60"/>
      </w:pPr>
      <w:rPr>
        <w:rFonts w:ascii="Calibri" w:hAnsi="Calibri"/>
        <w:b/>
        <w:color w:val="FFFFFF"/>
        <w:sz w:val="19"/>
      </w:rPr>
      <w:tcPr>
        <w:shd w:color="auto" w:fill="1B3358" w:val="clear"/>
        <w:tcBorders>
          <w:bottom w:color="1B3358" w:space="0" w:sz="4" w:val="single"/>
        </w:tcBorders>
      </w:tcPr>
    </w:tblStylePr>
    <w:tblStylePr w:type="band2Horz">
      <w:tcPr>
        <w:shd w:color="auto" w:fill="F5F8FC" w:val="clear"/>
      </w:tcPr>
    </w:tblStylePr>
    <w:tblStylePr w:type="firstCol">
      <w:rPr>
        <w:b/>
        <w:color w:val="1B3358"/>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2026-10-21T18:12:34Z</dcterms:created>
  <dcterms:modified xsi:type="dcterms:W3CDTF">2026-10-21T18:12:34Z</dcterms:modified>
</cp:coreProperties>
</file>

<file path=docProps/custom.xml><?xml version="1.0" encoding="utf-8"?>
<Properties xmlns="http://schemas.openxmlformats.org/officeDocument/2006/custom-properties" xmlns:vt="http://schemas.openxmlformats.org/officeDocument/2006/docPropsVTypes"/>
</file>