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reading-pack-week-5"/>
    <w:p>
      <w:pPr>
        <w:pStyle w:val="Heading1"/>
      </w:pPr>
      <w:r>
        <w:t xml:space="preserve">Reading Pack — Week 5</w:t>
      </w:r>
    </w:p>
    <w:p>
      <w:pPr>
        <w:pStyle w:val="FirstParagraph"/>
      </w:pPr>
      <w:r>
        <w:rPr>
          <w:iCs/>
          <w:i/>
        </w:rPr>
        <w:t xml:space="preserve">Sessions 17–20 · The Full Sweep · Thornfield Industrial Group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Week 5 finishes Order-to-Cash and takes you into the manager's seat: design vs operating deficiencies, sample size, severity — then the stakeholder panel in session 20.</w:t>
      </w:r>
    </w:p>
    <w:p>
      <w:pPr>
        <w:pStyle w:val="BodyText"/>
      </w:pPr>
      <w:r>
        <w:t xml:space="preserve">Read each session's section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that session — about 45–60 minutes per session. The course app has the exact screens; this pack has the reasoning the app has no field for: the control objective, the population, what a reviewer will ask, and what to conclude.</w:t>
      </w:r>
    </w:p>
    <w:p>
      <w:pPr>
        <w:pStyle w:val="BodyText"/>
      </w:pPr>
      <w:r>
        <w:rPr>
          <w:bCs/>
          <w:b/>
        </w:rPr>
        <w:t xml:space="preserve">Graded work this week:</w:t>
      </w:r>
    </w:p>
    <w:p>
      <w:pPr>
        <w:numPr>
          <w:ilvl w:val="0"/>
          <w:numId w:val="1001"/>
        </w:numPr>
        <w:pStyle w:val="Compact"/>
      </w:pPr>
      <w:r>
        <w:t xml:space="preserve">Session 17: Workpaper 3 (ITAC / Order-to-Cash) assigned — due before session 19</w:t>
      </w:r>
    </w:p>
    <w:p>
      <w:pPr>
        <w:numPr>
          <w:ilvl w:val="0"/>
          <w:numId w:val="1001"/>
        </w:numPr>
        <w:pStyle w:val="Compact"/>
      </w:pPr>
      <w:r>
        <w:t xml:space="preserve">Session 19: Workpaper 3 returned marked</w:t>
      </w:r>
    </w:p>
    <w:p>
      <w:pPr>
        <w:numPr>
          <w:ilvl w:val="0"/>
          <w:numId w:val="1001"/>
        </w:numPr>
        <w:pStyle w:val="Compact"/>
      </w:pPr>
      <w:r>
        <w:t xml:space="preserve">Session 20: Stakeholder panel graded · certificate eligibility confirmed</w:t>
      </w:r>
    </w:p>
    <w:bookmarkEnd w:id="20"/>
    <w:bookmarkStart w:id="26" w:name="session-17-tue-book-30-the-early-invoice"/>
    <w:p>
      <w:pPr>
        <w:pStyle w:val="Heading2"/>
      </w:pPr>
      <w:r>
        <w:t xml:space="preserve">Session 17 — Tue · Book 30 — The Early Invoice</w:t>
      </w:r>
    </w:p>
    <w:bookmarkStart w:id="25" w:name="book-30-the-early-invoice"/>
    <w:p>
      <w:pPr>
        <w:pStyle w:val="Heading3"/>
      </w:pPr>
      <w:r>
        <w:t xml:space="preserve">Book 30 — The Early Invoice</w:t>
      </w:r>
    </w:p>
    <w:p>
      <w:pPr>
        <w:pStyle w:val="FirstParagraph"/>
      </w:pPr>
      <w:r>
        <w:rPr>
          <w:iCs/>
          <w:i/>
        </w:rPr>
        <w:t xml:space="preserve">Part VIII · Billing Cutoff &amp; Revenue Recognition Testing</w:t>
      </w:r>
    </w:p>
    <w:p>
      <w:pPr>
        <w:pStyle w:val="BodyText"/>
      </w:pPr>
      <w:r>
        <w:rPr>
          <w:bCs/>
          <w:b/>
        </w:rPr>
        <w:t xml:space="preserve">Scope area: Billing Cutoff &amp; Revenue Recognition Testing</w:t>
      </w:r>
    </w:p>
    <w:p>
      <w:pPr>
        <w:pStyle w:val="BodyText"/>
      </w:pPr>
      <w:r>
        <w:t xml:space="preserve">Confirm that invoices are only created after the corresponding goods have actually shipped — not backdated or pushed through early to hit a quarter-end revenue target.</w:t>
      </w:r>
    </w:p>
    <w:bookmarkStart w:id="21" w:name="what-to-watch-for"/>
    <w:p>
      <w:pPr>
        <w:pStyle w:val="Heading5"/>
      </w:pPr>
      <w:r>
        <w:t xml:space="preserve">What to watch for</w:t>
      </w:r>
    </w:p>
    <w:p>
      <w:pPr>
        <w:pStyle w:val="FirstParagraph"/>
      </w:pPr>
      <w:r>
        <w:t xml:space="preserve">Comparing dates alone will miss same-day violations — always pull the actual timestamps, not just the calendar date, when testing cutoff at quarter-end.</w:t>
      </w:r>
    </w:p>
    <w:bookmarkEnd w:id="21"/>
    <w:bookmarkStart w:id="22" w:name="evidence-you-will-need"/>
    <w:p>
      <w:pPr>
        <w:pStyle w:val="Heading5"/>
      </w:pPr>
      <w:r>
        <w:t xml:space="preserve">Evidence you will need</w:t>
      </w:r>
    </w:p>
    <w:p>
      <w:pPr>
        <w:pStyle w:val="FirstParagraph"/>
      </w:pPr>
      <w:r>
        <w:t xml:space="preserve">The VBRK/VBRP-based billing population for the cutoff window, the goods-issue timestamp from VL03N for each sampled document, and the calculated gap (or violation) between billing and goods-issue timestamps.</w:t>
      </w:r>
    </w:p>
    <w:bookmarkEnd w:id="22"/>
    <w:bookmarkStart w:id="23" w:name="X1c89ceffc96a65f9f6804de866e3ed6ca110b37"/>
    <w:p>
      <w:pPr>
        <w:pStyle w:val="Heading5"/>
      </w:pPr>
      <w:r>
        <w:t xml:space="preserve">Execution steps (as they appear in the app)</w:t>
      </w:r>
    </w:p>
    <w:p>
      <w:pPr>
        <w:pStyle w:val="FirstParagraph"/>
      </w:pPr>
      <w:r>
        <w:rPr>
          <w:bCs/>
          <w:b/>
        </w:rPr>
        <w:t xml:space="preserve">VF04 (SAP GUI):</w:t>
      </w:r>
      <w:r>
        <w:t xml:space="preserve"> </w:t>
      </w:r>
      <w:r>
        <w:t xml:space="preserve">Type VF04 into the transaction code field at the top-left of the SAP GUI screen and press Enter. Review the billing due list for the cutoff window as an orientation step, then verify independently via SE16N. [Navigation: type VF04, set the billing date range on the selection screen, execute.]</w:t>
      </w:r>
    </w:p>
    <w:p>
      <w:pPr>
        <w:pStyle w:val="BodyText"/>
      </w:pPr>
      <w:r>
        <w:rPr>
          <w:bCs/>
          <w:b/>
        </w:rPr>
        <w:t xml:space="preserve">SE16N (SAP GUI):</w:t>
      </w:r>
      <w:r>
        <w:t xml:space="preserve"> </w:t>
      </w:r>
      <w:r>
        <w:t xml:space="preserve">Display tables VBRK (billing header) and VBRP (billing items) directly to pull your own population for the last days of the period. [Navigation: type SE16N, enter VBRK, filter FKDAT (billing date) to your cutoff window, execute; repeat for VBRP if line-level detail is needed.]</w:t>
      </w:r>
    </w:p>
    <w:p>
      <w:pPr>
        <w:pStyle w:val="BodyText"/>
      </w:pPr>
      <w:r>
        <w:rPr>
          <w:bCs/>
          <w:b/>
        </w:rPr>
        <w:t xml:space="preserve">VL03N (SAP GUI):</w:t>
      </w:r>
      <w:r>
        <w:t xml:space="preserve"> </w:t>
      </w:r>
      <w:r>
        <w:t xml:space="preserve">Display the delivery referenced by each sampled billing document and record the actual goods-issue date and time. [Navigation: type VL03N, enter the delivery number, open the header status or document flow to find the goods-issue timestamp.]</w:t>
      </w:r>
    </w:p>
    <w:p>
      <w:pPr>
        <w:pStyle w:val="BodyText"/>
      </w:pPr>
      <w:r>
        <w:rPr>
          <w:bCs/>
          <w:b/>
        </w:rPr>
        <w:t xml:space="preserve">VA03 (SAP GUI):</w:t>
      </w:r>
      <w:r>
        <w:t xml:space="preserve"> </w:t>
      </w:r>
      <w:r>
        <w:t xml:space="preserve">Display the originating sales order for context — requested delivery date, customer, and order value. [Navigation: type VA03, enter the sales order number.]</w:t>
      </w:r>
    </w:p>
    <w:p>
      <w:pPr>
        <w:pStyle w:val="BodyText"/>
      </w:pPr>
      <w:r>
        <w:rPr>
          <w:bCs/>
          <w:b/>
        </w:rPr>
        <w:t xml:space="preserve">— (—):</w:t>
      </w:r>
      <w:r>
        <w:t xml:space="preserve"> </w:t>
      </w:r>
      <w:r>
        <w:t xml:space="preserve">Any billing document whose creation timestamp precedes its delivery's goods-issue timestamp is a cutoff exception — flag it immediately rather than folding it into a larger sample average.</w:t>
      </w:r>
    </w:p>
    <w:bookmarkEnd w:id="23"/>
    <w:bookmarkStart w:id="24" w:name="the-question-to-bring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Did you compare timestamps or only dates? Which invoices pulled revenue into the wrong period?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24"/>
    <w:bookmarkEnd w:id="25"/>
    <w:bookmarkEnd w:id="26"/>
    <w:bookmarkStart w:id="36" w:name="Xa33f2087af388fe0b5a89eed07ae5f765e4e747"/>
    <w:p>
      <w:pPr>
        <w:pStyle w:val="Heading2"/>
      </w:pPr>
      <w:r>
        <w:t xml:space="preserve">Session 18 — Thu · Book 37 — The Control That Was Never Built to Hold + Book 38 — How Many Is Enough</w:t>
      </w:r>
    </w:p>
    <w:bookmarkStart w:id="30" w:name="X19dfe8b7762f3f58102150642cfd073b4f8fd80"/>
    <w:p>
      <w:pPr>
        <w:pStyle w:val="Heading3"/>
      </w:pPr>
      <w:r>
        <w:t xml:space="preserve">Book 37 — The Control That Was Never Built to Hold</w:t>
      </w:r>
    </w:p>
    <w:p>
      <w:pPr>
        <w:pStyle w:val="FirstParagraph"/>
      </w:pPr>
      <w:r>
        <w:rPr>
          <w:iCs/>
          <w:i/>
        </w:rPr>
        <w:t xml:space="preserve">Part XI · Design Effectiveness Testing</w:t>
      </w:r>
    </w:p>
    <w:p>
      <w:pPr>
        <w:pStyle w:val="BodyText"/>
      </w:pPr>
      <w:r>
        <w:rPr>
          <w:bCs/>
          <w:b/>
        </w:rPr>
        <w:t xml:space="preserve">Scope area: Design Effectiveness Testing</w:t>
      </w:r>
    </w:p>
    <w:p>
      <w:pPr>
        <w:pStyle w:val="BodyText"/>
      </w:pPr>
      <w:r>
        <w:t xml:space="preserve">Confirm that a control as designed — not yet as operated — is actually capable of preventing or detecting the risk it is assigned to in the RCM, before spending fieldwork hours testing whether it operated.</w:t>
      </w:r>
    </w:p>
    <w:bookmarkStart w:id="27" w:name="what-to-watch-for-1"/>
    <w:p>
      <w:pPr>
        <w:pStyle w:val="Heading5"/>
      </w:pPr>
      <w:r>
        <w:t xml:space="preserve">What to watch for</w:t>
      </w:r>
    </w:p>
    <w:p>
      <w:pPr>
        <w:pStyle w:val="FirstParagraph"/>
      </w:pPr>
      <w:r>
        <w:t xml:space="preserve">Running a full operating-effectiveness sample before confirming design effectiveness can waste an entire testing cycle proving, one instance at a time, something a five-minute role-design review would have shown for the whole population at once.</w:t>
      </w:r>
    </w:p>
    <w:bookmarkEnd w:id="27"/>
    <w:bookmarkStart w:id="28" w:name="evidence-you-will-need-1"/>
    <w:p>
      <w:pPr>
        <w:pStyle w:val="Heading5"/>
      </w:pPr>
      <w:r>
        <w:t xml:space="preserve">Evidence you will need</w:t>
      </w:r>
    </w:p>
    <w:p>
      <w:pPr>
        <w:pStyle w:val="FirstParagraph"/>
      </w:pPr>
      <w:r>
        <w:t xml:space="preserve">The RCM's stated control objective, the PFCG role-design review, a RACI-style mapping of who can perform each function, and the design-effectiveness conclusion memo distinguishing design from operating deficiency.</w:t>
      </w:r>
    </w:p>
    <w:bookmarkEnd w:id="28"/>
    <w:bookmarkStart w:id="29" w:name="X18ce9bc32099f3a79b8dbf3bc1f90b3b845ac76"/>
    <w:p>
      <w:pPr>
        <w:pStyle w:val="Heading5"/>
      </w:pPr>
      <w:r>
        <w:t xml:space="preserve">Execution steps (as they appear in the app)</w:t>
      </w:r>
    </w:p>
    <w:p>
      <w:pPr>
        <w:pStyle w:val="FirstParagraph"/>
      </w:pPr>
      <w:r>
        <w:rPr>
          <w:bCs/>
          <w:b/>
        </w:rPr>
        <w:t xml:space="preserve">RCM Cross-Reference (Manager Workpaper):</w:t>
      </w:r>
      <w:r>
        <w:t xml:space="preserve"> </w:t>
      </w:r>
      <w:r>
        <w:t xml:space="preserve">Pull the control's stated objective from the RCM built in Book 36 and restate it as a testable design question.</w:t>
      </w:r>
    </w:p>
    <w:p>
      <w:pPr>
        <w:pStyle w:val="BodyText"/>
      </w:pPr>
      <w:r>
        <w:rPr>
          <w:bCs/>
          <w:b/>
        </w:rPr>
        <w:t xml:space="preserve">PFCG (SAP GUI (display)):</w:t>
      </w:r>
      <w:r>
        <w:t xml:space="preserve"> </w:t>
      </w:r>
      <w:r>
        <w:t xml:space="preserve">Display the standard role(s) associated with the control's process and review whether both functions' authorization objects sit in the same role. [Navigation: type PFCG, enter the role name, display mode only, review the Authorizations tab.]</w:t>
      </w:r>
    </w:p>
    <w:p>
      <w:pPr>
        <w:pStyle w:val="BodyText"/>
      </w:pPr>
      <w:r>
        <w:rPr>
          <w:bCs/>
          <w:b/>
        </w:rPr>
        <w:t xml:space="preserve">RACI Mapping (Manager Workpaper):</w:t>
      </w:r>
      <w:r>
        <w:t xml:space="preserve"> </w:t>
      </w:r>
      <w:r>
        <w:t xml:space="preserve">Build a simple who-can-do-what mapping from the role review to visualize where the design does or doesn't enforce separation.</w:t>
      </w:r>
    </w:p>
    <w:p>
      <w:pPr>
        <w:pStyle w:val="BodyText"/>
      </w:pPr>
      <w:r>
        <w:rPr>
          <w:bCs/>
          <w:b/>
        </w:rPr>
        <w:t xml:space="preserve">Design Effectiveness Memo (Manager Workpaper):</w:t>
      </w:r>
      <w:r>
        <w:t xml:space="preserve"> </w:t>
      </w:r>
      <w:r>
        <w:t xml:space="preserve">Document the design conclusion explicitly, separate from any operating-effectiveness conclusion drawn from prior fieldwork.</w:t>
      </w:r>
    </w:p>
    <w:bookmarkEnd w:id="29"/>
    <w:bookmarkEnd w:id="30"/>
    <w:bookmarkStart w:id="35" w:name="book-38-how-many-is-enough"/>
    <w:p>
      <w:pPr>
        <w:pStyle w:val="Heading3"/>
      </w:pPr>
      <w:r>
        <w:t xml:space="preserve">Book 38 — How Many Is Enough</w:t>
      </w:r>
    </w:p>
    <w:p>
      <w:pPr>
        <w:pStyle w:val="FirstParagraph"/>
      </w:pPr>
      <w:r>
        <w:rPr>
          <w:iCs/>
          <w:i/>
        </w:rPr>
        <w:t xml:space="preserve">Part XI · Operating Effectiveness Sampling</w:t>
      </w:r>
    </w:p>
    <w:p>
      <w:pPr>
        <w:pStyle w:val="BodyText"/>
      </w:pPr>
      <w:r>
        <w:rPr>
          <w:bCs/>
          <w:b/>
        </w:rPr>
        <w:t xml:space="preserve">Scope area: Operating Effectiveness Sampling</w:t>
      </w:r>
    </w:p>
    <w:p>
      <w:pPr>
        <w:pStyle w:val="BodyText"/>
      </w:pPr>
      <w:r>
        <w:t xml:space="preserve">As engagement manager, determine the sample size and selection method for each key control's operating-effectiveness test — matched to the control's frequency and the engagement's reliance strategy — rather than defaulting to the same handful of items every time.</w:t>
      </w:r>
    </w:p>
    <w:bookmarkStart w:id="31" w:name="what-to-watch-for-2"/>
    <w:p>
      <w:pPr>
        <w:pStyle w:val="Heading5"/>
      </w:pPr>
      <w:r>
        <w:t xml:space="preserve">What to watch for</w:t>
      </w:r>
    </w:p>
    <w:p>
      <w:pPr>
        <w:pStyle w:val="FirstParagraph"/>
      </w:pPr>
      <w:r>
        <w:t xml:space="preserve">A sample size that looks rigorous but was drawn from an already-filtered report can be entirely correct in its math and still support the wrong conclusion, because the population itself was wrong before the first item was ever selected.</w:t>
      </w:r>
    </w:p>
    <w:bookmarkEnd w:id="31"/>
    <w:bookmarkStart w:id="32" w:name="evidence-you-will-need-2"/>
    <w:p>
      <w:pPr>
        <w:pStyle w:val="Heading5"/>
      </w:pPr>
      <w:r>
        <w:t xml:space="preserve">Evidence you will need</w:t>
      </w:r>
    </w:p>
    <w:p>
      <w:pPr>
        <w:pStyle w:val="FirstParagraph"/>
      </w:pPr>
      <w:r>
        <w:t xml:space="preserve">The RCM frequency reference for each control, the sample-size determination and rationale, the population-completeness confirmation, and the documented sample-selection method.</w:t>
      </w:r>
    </w:p>
    <w:bookmarkEnd w:id="32"/>
    <w:bookmarkStart w:id="33" w:name="X1ad0ee9c5b689423e95fe83bb289136c505c6fd"/>
    <w:p>
      <w:pPr>
        <w:pStyle w:val="Heading5"/>
      </w:pPr>
      <w:r>
        <w:t xml:space="preserve">Execution steps (as they appear in the app)</w:t>
      </w:r>
    </w:p>
    <w:p>
      <w:pPr>
        <w:pStyle w:val="FirstParagraph"/>
      </w:pPr>
      <w:r>
        <w:rPr>
          <w:bCs/>
          <w:b/>
        </w:rPr>
        <w:t xml:space="preserve">RCM Frequency Review (Manager Workpaper):</w:t>
      </w:r>
      <w:r>
        <w:t xml:space="preserve"> </w:t>
      </w:r>
      <w:r>
        <w:t xml:space="preserve">Pull the documented frequency for each key control from the RCM built in Book 36.</w:t>
      </w:r>
    </w:p>
    <w:p>
      <w:pPr>
        <w:pStyle w:val="BodyText"/>
      </w:pPr>
      <w:r>
        <w:rPr>
          <w:bCs/>
          <w:b/>
        </w:rPr>
        <w:t xml:space="preserve">Sample Size Table (Manager Workpaper / Sampling Guide):</w:t>
      </w:r>
      <w:r>
        <w:t xml:space="preserve"> </w:t>
      </w:r>
      <w:r>
        <w:t xml:space="preserve">Apply the standard frequency-based sample-size table and document any deviation with a stated rationale.</w:t>
      </w:r>
    </w:p>
    <w:p>
      <w:pPr>
        <w:pStyle w:val="BodyText"/>
      </w:pPr>
      <w:r>
        <w:rPr>
          <w:bCs/>
          <w:b/>
        </w:rPr>
        <w:t xml:space="preserve">SE16N (SAP GUI):</w:t>
      </w:r>
      <w:r>
        <w:t xml:space="preserve"> </w:t>
      </w:r>
      <w:r>
        <w:t xml:space="preserve">Confirm the population source table directly rather than relying on a pre-filtered report. [Navigation: type SE16N, enter the relevant table, confirm record count against any report total being compared.]</w:t>
      </w:r>
    </w:p>
    <w:p>
      <w:pPr>
        <w:pStyle w:val="BodyText"/>
      </w:pPr>
      <w:r>
        <w:rPr>
          <w:bCs/>
          <w:b/>
        </w:rPr>
        <w:t xml:space="preserve">Sample Selection (Random / Haphazard / Judgmental):</w:t>
      </w:r>
      <w:r>
        <w:t xml:space="preserve"> </w:t>
      </w:r>
      <w:r>
        <w:t xml:space="preserve">Select the sample using the documented method and record the selection rationale in the workpaper.</w:t>
      </w:r>
    </w:p>
    <w:bookmarkEnd w:id="33"/>
    <w:bookmarkStart w:id="34" w:name="the-question-to-bring-1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Could this control ever have passed, whatever the sample? Defend your sample size and your population source as two separate decisions.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34"/>
    <w:bookmarkEnd w:id="35"/>
    <w:bookmarkEnd w:id="36"/>
    <w:bookmarkStart w:id="42" w:name="X28e2da7130a04cde540d4ec83da66dd8b7a205b"/>
    <w:p>
      <w:pPr>
        <w:pStyle w:val="Heading2"/>
      </w:pPr>
      <w:r>
        <w:t xml:space="preserve">Session 19 — Sat · Rate the cohort's own findings from sessions 2–17</w:t>
      </w:r>
    </w:p>
    <w:p>
      <w:pPr>
        <w:pStyle w:val="FirstParagraph"/>
      </w:pPr>
      <w:r>
        <w:rPr>
          <w:bCs/>
          <w:b/>
        </w:rPr>
        <w:t xml:space="preserve">Before session 19:</w:t>
      </w:r>
      <w:r>
        <w:t xml:space="preserve"> </w:t>
      </w:r>
      <w:r>
        <w:t xml:space="preserve">list every finding you raised in sessions 2–17, one line each. In the session the cohort rates them all with one framework. Bring Workpaper 3 finished.</w:t>
      </w:r>
    </w:p>
    <w:bookmarkStart w:id="41" w:name="book-39-what-kind-of-finding-is-this"/>
    <w:p>
      <w:pPr>
        <w:pStyle w:val="Heading3"/>
      </w:pPr>
      <w:r>
        <w:t xml:space="preserve">Book 39 — What Kind of Finding Is This</w:t>
      </w:r>
    </w:p>
    <w:p>
      <w:pPr>
        <w:pStyle w:val="FirstParagraph"/>
      </w:pPr>
      <w:r>
        <w:rPr>
          <w:iCs/>
          <w:i/>
        </w:rPr>
        <w:t xml:space="preserve">Part XI · Deficiency Classification</w:t>
      </w:r>
    </w:p>
    <w:p>
      <w:pPr>
        <w:pStyle w:val="BodyText"/>
      </w:pPr>
      <w:r>
        <w:rPr>
          <w:bCs/>
          <w:b/>
        </w:rPr>
        <w:t xml:space="preserve">Scope area: Deficiency Classification</w:t>
      </w:r>
    </w:p>
    <w:p>
      <w:pPr>
        <w:pStyle w:val="BodyText"/>
      </w:pPr>
      <w:r>
        <w:t xml:space="preserve">As engagement manager, take the findings accumulated across this engagement's fieldwork and classify each one by severity — deficiency, significant deficiency, or material weakness — using a consistent, documented framework rather than gut feel or how uncomfortable the finding is to deliver.</w:t>
      </w:r>
    </w:p>
    <w:bookmarkStart w:id="37" w:name="what-to-watch-for-3"/>
    <w:p>
      <w:pPr>
        <w:pStyle w:val="Heading5"/>
      </w:pPr>
      <w:r>
        <w:t xml:space="preserve">What to watch for</w:t>
      </w:r>
    </w:p>
    <w:p>
      <w:pPr>
        <w:pStyle w:val="FirstParagraph"/>
      </w:pPr>
      <w:r>
        <w:t xml:space="preserve">Rating every finding the same severity because that's administratively simpler, or downgrading a finding because delivering a "material weakness" conversation is uncomfortable, both break the classification framework's only real job — giving management and the board an honest picture of where the risk actually is.</w:t>
      </w:r>
    </w:p>
    <w:bookmarkEnd w:id="37"/>
    <w:bookmarkStart w:id="38" w:name="evidence-you-will-need-3"/>
    <w:p>
      <w:pPr>
        <w:pStyle w:val="Heading5"/>
      </w:pPr>
      <w:r>
        <w:t xml:space="preserve">Evidence you will need</w:t>
      </w:r>
    </w:p>
    <w:p>
      <w:pPr>
        <w:pStyle w:val="FirstParagraph"/>
      </w:pPr>
      <w:r>
        <w:t xml:space="preserve">The compiled findings inventory, the quantitative impact assessment per finding, the compensating-control cross-reference, and the severity classification memo with documented rationale.</w:t>
      </w:r>
    </w:p>
    <w:bookmarkEnd w:id="38"/>
    <w:bookmarkStart w:id="39" w:name="X8f1a6327af44607f0bebd809d58deb4bd7896bf"/>
    <w:p>
      <w:pPr>
        <w:pStyle w:val="Heading5"/>
      </w:pPr>
      <w:r>
        <w:t xml:space="preserve">Execution steps (as they appear in the app)</w:t>
      </w:r>
    </w:p>
    <w:p>
      <w:pPr>
        <w:pStyle w:val="FirstParagraph"/>
      </w:pPr>
      <w:r>
        <w:rPr>
          <w:bCs/>
          <w:b/>
        </w:rPr>
        <w:t xml:space="preserve">Findings Inventory (Manager Workpaper):</w:t>
      </w:r>
      <w:r>
        <w:t xml:space="preserve"> </w:t>
      </w:r>
      <w:r>
        <w:t xml:space="preserve">Compile every finding from the engagement's fieldwork Books into a single inventory before individually rating any of them.</w:t>
      </w:r>
    </w:p>
    <w:p>
      <w:pPr>
        <w:pStyle w:val="BodyText"/>
      </w:pPr>
      <w:r>
        <w:rPr>
          <w:bCs/>
          <w:b/>
        </w:rPr>
        <w:t xml:space="preserve">Quantitative Impact Assessment (Manager Workpaper):</w:t>
      </w:r>
      <w:r>
        <w:t xml:space="preserve"> </w:t>
      </w:r>
      <w:r>
        <w:t xml:space="preserve">Recalculate or confirm each finding's full population impact rather than relying on the original sample count.</w:t>
      </w:r>
    </w:p>
    <w:p>
      <w:pPr>
        <w:pStyle w:val="BodyText"/>
      </w:pPr>
      <w:r>
        <w:rPr>
          <w:bCs/>
          <w:b/>
        </w:rPr>
        <w:t xml:space="preserve">RCM Cross-Reference (Manager Workpaper):</w:t>
      </w:r>
      <w:r>
        <w:t xml:space="preserve"> </w:t>
      </w:r>
      <w:r>
        <w:t xml:space="preserve">Check the RCM for a compensating control relevant to each finding before finalizing its severity.</w:t>
      </w:r>
    </w:p>
    <w:p>
      <w:pPr>
        <w:pStyle w:val="BodyText"/>
      </w:pPr>
      <w:r>
        <w:rPr>
          <w:bCs/>
          <w:b/>
        </w:rPr>
        <w:t xml:space="preserve">Severity Classification Memo (Manager Workpaper):</w:t>
      </w:r>
      <w:r>
        <w:t xml:space="preserve"> </w:t>
      </w:r>
      <w:r>
        <w:t xml:space="preserve">Apply the documented severity framework to every finding and record the specific rationale for each rating.</w:t>
      </w:r>
    </w:p>
    <w:bookmarkEnd w:id="39"/>
    <w:bookmarkStart w:id="40" w:name="the-question-to-bring-2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Deficiency, significant deficiency or material weakness — defend it in one sentence: impact, pervasiveness, compensating controls.</w:t>
      </w:r>
    </w:p>
    <w:p>
      <w:pPr>
        <w:pStyle w:val="FirstParagraph"/>
      </w:pPr>
      <w:r>
        <w:t xml:space="preserve">Decide your answer before the session — in Defend It, someone will ask it.</w:t>
      </w:r>
    </w:p>
    <w:bookmarkEnd w:id="40"/>
    <w:bookmarkEnd w:id="41"/>
    <w:bookmarkEnd w:id="42"/>
    <w:bookmarkStart w:id="44" w:name="Xadcc2e7da7a065343f10ffb333100cce98eb966"/>
    <w:p>
      <w:pPr>
        <w:pStyle w:val="Heading2"/>
      </w:pPr>
      <w:r>
        <w:t xml:space="preserve">Session 20 — Sun · Stakeholder panel + Part X tools &amp; AI awareness + close</w:t>
      </w:r>
    </w:p>
    <w:p>
      <w:pPr>
        <w:pStyle w:val="FirstParagraph"/>
      </w:pPr>
      <w:r>
        <w:rPr>
          <w:bCs/>
          <w:b/>
        </w:rPr>
        <w:t xml:space="preserve">Before session 20:</w:t>
      </w:r>
      <w:r>
        <w:t xml:space="preserve"> </w:t>
      </w:r>
      <w:r>
        <w:t xml:space="preserve">prepare your stakeholder panel using the Stakeholder Panel Brief — one finding, three audiences, one conclusion that does not move. Skim Books 33–35 in the app (Beyond the Core); the session includes a 20-minute awareness tour of them.</w:t>
      </w:r>
    </w:p>
    <w:bookmarkStart w:id="43" w:name="the-question-to-bring-3"/>
    <w:p>
      <w:pPr>
        <w:pStyle w:val="Heading4"/>
      </w:pPr>
      <w:r>
        <w:t xml:space="preserve">The question to bring</w:t>
      </w:r>
    </w:p>
    <w:p>
      <w:pPr>
        <w:pStyle w:val="BlockText"/>
      </w:pPr>
      <w:r>
        <w:t xml:space="preserve">Panel: same finding, three audiences — what changes in your language, and what never changes in your conclusion?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</w:pPr>
    <w:rPr>
      <w:rFonts w:ascii="Calibri" w:cs="Calibri" w:hAnsi="Calibri"/>
      <w:color w:val="1F2933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  <w:pBdr>
        <w:bottom w:color="C87F16" w:space="6" w:sz="18" w:val="single"/>
      </w:pBdr>
    </w:pPr>
    <w:rPr>
      <w:rFonts w:ascii="Cambria" w:hAnsi="Cambria"/>
      <w:b/>
      <w:color w:val="12203A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360"/>
      <w:pBdr>
        <w:bottom w:color="D6DEEA" w:space="5" w:sz="8" w:val="single"/>
      </w:pBdr>
      <w:outlineLvl w:val="0"/>
    </w:pPr>
    <w:rPr>
      <w:rFonts w:ascii="Cambria" w:hAnsi="Cambria"/>
      <w:b/>
      <w:color w:val="1B3358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280"/>
      <w:outlineLvl w:val="1"/>
    </w:pPr>
    <w:rPr>
      <w:rFonts w:ascii="Cambria" w:hAnsi="Cambria"/>
      <w:b/>
      <w:color w:val="1B3358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40"/>
      <w:outlineLvl w:val="2"/>
    </w:pPr>
    <w:rPr>
      <w:rFonts w:ascii="Calibri" w:hAnsi="Calibri"/>
      <w:b/>
      <w:color w:val="C87F16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pPr>
      <w:pBdr>
        <w:left w:color="C87F16" w:space="10" w:sz="18" w:val="single"/>
      </w:pBdr>
      <w:ind w:left="288"/>
      <w:spacing w:after="140" w:before="140"/>
    </w:pPr>
    <w:rPr>
      <w:i/>
      <w:color w:val="5A6B8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 w:line="240" w:lineRule="auto"/>
    </w:pPr>
    <w:rPr>
      <w:rFonts w:ascii="Calibri" w:hAnsi="Calibri"/>
      <w:sz w:val="19"/>
      <w:szCs w:val="19"/>
    </w:rPr>
    <w:tblPr>
      <w:tblBorders>
        <w:top w:color="D6DEEA" w:space="0" w:sz="4" w:val="single"/>
        <w:left w:color="auto" w:space="0" w:sz="0" w:val="none"/>
        <w:bottom w:color="D6DEEA" w:space="0" w:sz="4" w:val="single"/>
        <w:right w:color="auto" w:space="0" w:sz="0" w:val="none"/>
        <w:insideH w:color="D6DEEA" w:space="0" w:sz="4" w:val="single"/>
        <w:insideV w:color="auto" w:space="0" w:sz="0" w:val="non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60" w:before="60"/>
      </w:pPr>
      <w:rPr>
        <w:rFonts w:ascii="Calibri" w:hAnsi="Calibri"/>
        <w:b/>
        <w:color w:val="FFFFFF"/>
        <w:sz w:val="19"/>
      </w:rPr>
      <w:tcPr>
        <w:shd w:color="auto" w:fill="1B3358" w:val="clear"/>
        <w:tcBorders>
          <w:bottom w:color="1B3358" w:space="0" w:sz="4" w:val="single"/>
        </w:tcBorders>
      </w:tcPr>
    </w:tblStylePr>
    <w:tblStylePr w:type="band2Horz">
      <w:tcPr>
        <w:shd w:color="auto" w:fill="F5F8FC" w:val="clear"/>
      </w:tcPr>
    </w:tblStylePr>
    <w:tblStylePr w:type="firstCol">
      <w:rPr>
        <w:b/>
        <w:color w:val="1B3358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2026-10-21T18:12:34Z</dcterms:created>
  <dcterms:modified xsi:type="dcterms:W3CDTF">2026-10-21T18:12:34Z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