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Reading</w:t>
      </w:r>
      <w:r>
        <w:t xml:space="preserve"> </w:t>
      </w:r>
      <w:r>
        <w:t xml:space="preserve">Pack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Before</w:t>
      </w:r>
      <w:r>
        <w:t xml:space="preserve"> </w:t>
      </w:r>
      <w:r>
        <w:t xml:space="preserve">Monday,</w:t>
      </w:r>
      <w:r>
        <w:t xml:space="preserve"> </w:t>
      </w:r>
      <w:r>
        <w:t xml:space="preserve">Week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Module</w:t>
      </w:r>
      <w:r>
        <w:t xml:space="preserve"> </w:t>
      </w:r>
      <w:r>
        <w:t xml:space="preserve">1</w:t>
      </w:r>
      <w:r>
        <w:t xml:space="preserve"> </w:t>
      </w:r>
      <w:r>
        <w:t xml:space="preserve">·</w:t>
      </w:r>
      <w:r>
        <w:t xml:space="preserve"> </w:t>
      </w:r>
      <w:r>
        <w:t xml:space="preserve">Access,</w:t>
      </w:r>
      <w:r>
        <w:t xml:space="preserve"> </w:t>
      </w:r>
      <w:r>
        <w:t xml:space="preserve">Identity</w:t>
      </w:r>
      <w:r>
        <w:t xml:space="preserve"> </w:t>
      </w:r>
      <w:r>
        <w:t xml:space="preserve">&amp;</w:t>
      </w:r>
      <w:r>
        <w:t xml:space="preserve"> </w:t>
      </w:r>
      <w:r>
        <w:t xml:space="preserve">Authorization</w:t>
      </w:r>
    </w:p>
    <w:p>
      <w:pPr>
        <w:pStyle w:val="Author"/>
      </w:pPr>
      <w:r>
        <w:t xml:space="preserve">SAP</w:t>
      </w:r>
      <w:r>
        <w:t xml:space="preserve"> </w:t>
      </w:r>
      <w:r>
        <w:t xml:space="preserve">SOX</w:t>
      </w:r>
      <w:r>
        <w:t xml:space="preserve"> </w:t>
      </w:r>
      <w:r>
        <w:t xml:space="preserve">/</w:t>
      </w:r>
      <w:r>
        <w:t xml:space="preserve"> </w:t>
      </w:r>
      <w:r>
        <w:t xml:space="preserve">ITGC</w:t>
      </w:r>
      <w:r>
        <w:t xml:space="preserve"> </w:t>
      </w:r>
      <w:r>
        <w:t xml:space="preserve">Controls</w:t>
      </w:r>
      <w:r>
        <w:t xml:space="preserve"> </w:t>
      </w:r>
      <w:r>
        <w:t xml:space="preserve">—</w:t>
      </w:r>
      <w:r>
        <w:t xml:space="preserve"> </w:t>
      </w:r>
      <w:r>
        <w:t xml:space="preserve">Course</w:t>
      </w:r>
      <w:r>
        <w:t xml:space="preserve"> </w:t>
      </w:r>
      <w:r>
        <w:t xml:space="preserve">1: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Sweep</w:t>
      </w:r>
      <w:r>
        <w:t xml:space="preserve"> </w:t>
      </w:r>
      <w:r>
        <w:t xml:space="preserve">·</w:t>
      </w:r>
      <w:r>
        <w:t xml:space="preserve"> </w:t>
      </w:r>
      <w:r>
        <w:t xml:space="preserve">Thornfield</w:t>
      </w:r>
      <w:r>
        <w:t xml:space="preserve"> </w:t>
      </w:r>
      <w:r>
        <w:t xml:space="preserve">Industrial</w:t>
      </w:r>
      <w:r>
        <w:t xml:space="preserve"> </w:t>
      </w:r>
      <w:r>
        <w:t xml:space="preserve">Group</w:t>
      </w:r>
    </w:p>
    <w:bookmarkStart w:id="20" w:name="before-you-start"/>
    <w:p>
      <w:pPr>
        <w:pStyle w:val="Heading1"/>
      </w:pPr>
      <w:r>
        <w:t xml:space="preserve">Before you start</w:t>
      </w:r>
    </w:p>
    <w:p>
      <w:pPr>
        <w:pStyle w:val="FirstParagraph"/>
      </w:pPr>
      <w:r>
        <w:rPr>
          <w:bCs/>
          <w:b/>
        </w:rPr>
        <w:t xml:space="preserve">Read Part 1 of your Junior Study Guide properly. Once. Without your phone.</w:t>
      </w:r>
      <w:r>
        <w:t xml:space="preserve"> </w:t>
      </w:r>
      <w:r>
        <w:t xml:space="preserve">It is the founding story of the whole course and Monday’s session opens on it cold.</w:t>
      </w:r>
    </w:p>
    <w:p>
      <w:pPr>
        <w:pStyle w:val="BodyText"/>
      </w:pPr>
      <w:r>
        <w:t xml:space="preserve">Then read the five short pieces after it. Those are the other Module 1 Books, in brief. You don’t need to know them well. You need the names to mean something when they come up.</w:t>
      </w:r>
    </w:p>
    <w:p>
      <w:pPr>
        <w:pStyle w:val="BodyText"/>
      </w:pPr>
      <w:r>
        <w:rPr>
          <w:bCs/>
          <w:b/>
        </w:rPr>
        <w:t xml:space="preserve">Total time: about 60 minutes for the study guide’s Part 1, plus 15 for the rest.</w:t>
      </w:r>
    </w:p>
    <w:p>
      <w:pPr>
        <w:pStyle w:val="BodyText"/>
      </w:pPr>
      <w:r>
        <w:rPr>
          <w:bCs/>
          <w:b/>
        </w:rPr>
        <w:t xml:space="preserve">One question to hold while you read:</w:t>
      </w:r>
      <w:r>
        <w:t xml:space="preserve"> </w:t>
      </w:r>
      <w:r>
        <w:rPr>
          <w:iCs/>
          <w:i/>
        </w:rPr>
        <w:t xml:space="preserve">nobody in this story did anything wrong. So how did the gap get there?</w:t>
      </w:r>
    </w:p>
    <w:p>
      <w:r>
        <w:pict>
          <v:rect style="width:0;height:1.5pt" o:hralign="center" o:hrstd="t" o:hr="t"/>
        </w:pict>
      </w:r>
    </w:p>
    <w:bookmarkEnd w:id="20"/>
    <w:bookmarkStart w:id="21" w:name="the-company-and-the-people"/>
    <w:p>
      <w:pPr>
        <w:pStyle w:val="Heading1"/>
      </w:pPr>
      <w:r>
        <w:t xml:space="preserve">The company and the people</w:t>
      </w:r>
    </w:p>
    <w:p>
      <w:pPr>
        <w:pStyle w:val="FirstParagraph"/>
      </w:pPr>
      <w:r>
        <w:rPr>
          <w:bCs/>
          <w:b/>
        </w:rPr>
        <w:t xml:space="preserve">Both are in the study guide</w:t>
      </w:r>
      <w:r>
        <w:t xml:space="preserve">, at the start of Part 1 — Thornfield Industrial Group, and the twelve people you will meet in every Book.</w:t>
      </w:r>
    </w:p>
    <w:p>
      <w:pPr>
        <w:pStyle w:val="BodyText"/>
      </w:pPr>
      <w:r>
        <w:t xml:space="preserve">Read them there rather than here. They are the canonical versions, and you will meet the same cast for the rest of the course.</w:t>
      </w:r>
    </w:p>
    <w:p>
      <w:pPr>
        <w:pStyle w:val="BodyText"/>
      </w:pPr>
      <w:r>
        <w:t xml:space="preserve">Two things worth carrying:</w:t>
      </w:r>
    </w:p>
    <w:p>
      <w:pPr>
        <w:pStyle w:val="BodyText"/>
      </w:pPr>
      <w:r>
        <w:rPr>
          <w:bCs/>
          <w:b/>
        </w:rPr>
        <w:t xml:space="preserve">Thornfield went public fourteen months ago.</w:t>
      </w:r>
      <w:r>
        <w:t xml:space="preserve"> </w:t>
      </w:r>
      <w:r>
        <w:t xml:space="preserve">This is its first year as a company whose CFO must personally certify that internal controls over financial reporting actually work. There is no prior year to lean on.</w:t>
      </w:r>
    </w:p>
    <w:p>
      <w:pPr>
        <w:pStyle w:val="BodyText"/>
      </w:pPr>
      <w:r>
        <w:rPr>
          <w:bCs/>
          <w:b/>
        </w:rPr>
        <w:t xml:space="preserve">Nadia Brooks is who you are trying to become. Priya Nair is who you are.</w:t>
      </w:r>
    </w:p>
    <w:p>
      <w:r>
        <w:pict>
          <v:rect style="width:0;height:1.5pt" o:hralign="center" o:hrstd="t" o:hr="t"/>
        </w:pict>
      </w:r>
    </w:p>
    <w:bookmarkEnd w:id="21"/>
    <w:bookmarkStart w:id="24" w:name="book-1-the-access-list"/>
    <w:p>
      <w:pPr>
        <w:pStyle w:val="Heading1"/>
      </w:pPr>
      <w:r>
        <w:t xml:space="preserve">BOOK 1 — THE ACCESS LIST</w:t>
      </w:r>
    </w:p>
    <w:p>
      <w:pPr>
        <w:pStyle w:val="FirstParagraph"/>
      </w:pPr>
      <w:r>
        <w:rPr>
          <w:bCs/>
          <w:b/>
        </w:rPr>
        <w:t xml:space="preserve">Scope area:</w:t>
      </w:r>
      <w:r>
        <w:t xml:space="preserve"> </w:t>
      </w:r>
      <w:r>
        <w:t xml:space="preserve">Access · segregation of duties</w:t>
      </w:r>
      <w:r>
        <w:t xml:space="preserve"> </w:t>
      </w:r>
      <w:r>
        <w:rPr>
          <w:bCs/>
          <w:b/>
        </w:rPr>
        <w:t xml:space="preserve">Read it in the Junior Study Guide, Part 1. The full novella, about 25 pages.</w:t>
      </w:r>
    </w:p>
    <w:p>
      <w:pPr>
        <w:pStyle w:val="BodyText"/>
      </w:pPr>
      <w:r>
        <w:t xml:space="preserve">Do not read a summary of this one.</w:t>
      </w:r>
      <w:r>
        <w:t xml:space="preserve"> </w:t>
      </w:r>
      <w:r>
        <w:rPr>
          <w:bCs/>
          <w:b/>
        </w:rPr>
        <w:t xml:space="preserve">Part 1 of your study guide is the complete story</w:t>
      </w:r>
      <w:r>
        <w:t xml:space="preserve">, and everything after it — the rest of the guide, the app, and this course — assumes you have read it.</w:t>
      </w:r>
    </w:p>
    <w:p>
      <w:pPr>
        <w:pStyle w:val="BodyText"/>
      </w:pPr>
      <w:r>
        <w:t xml:space="preserve">Set aside about forty-five minutes and read it start to finish, in one sitting if you can.</w:t>
      </w:r>
    </w:p>
    <w:bookmarkStart w:id="22" w:name="what-to-notice-while-you-read"/>
    <w:p>
      <w:pPr>
        <w:pStyle w:val="Heading2"/>
      </w:pPr>
      <w:r>
        <w:t xml:space="preserve">What to notice while you read</w:t>
      </w:r>
    </w:p>
    <w:p>
      <w:pPr>
        <w:pStyle w:val="FirstParagraph"/>
      </w:pPr>
      <w:r>
        <w:rPr>
          <w:bCs/>
          <w:b/>
        </w:rPr>
        <w:t xml:space="preserve">1. The gap was created by a Tuesday, not by a criminal.</w:t>
      </w:r>
      <w:r>
        <w:t xml:space="preserve"> </w:t>
      </w:r>
      <w:r>
        <w:t xml:space="preserve">A merger, a headcount, and an afternoon when nobody had time to look closely. Almost every control failure you will ever find comes into the world this way.</w:t>
      </w:r>
    </w:p>
    <w:p>
      <w:pPr>
        <w:pStyle w:val="BodyText"/>
      </w:pPr>
      <w:r>
        <w:rPr>
          <w:bCs/>
          <w:b/>
        </w:rPr>
        <w:t xml:space="preserve">2. Nadia’s first question is not about a report.</w:t>
      </w:r>
      <w:r>
        <w:t xml:space="preserve"> </w:t>
      </w:r>
      <w:r>
        <w:t xml:space="preserve">On day one she asks when the GRC ruleset was last revalidated. If the ruleset is wrong, a clean Access Risk Analysis report is a beautifully formatted lie. Notice that she asks it before anyone opens a screen.</w:t>
      </w:r>
    </w:p>
    <w:p>
      <w:pPr>
        <w:pStyle w:val="BodyText"/>
      </w:pPr>
      <w:r>
        <w:rPr>
          <w:bCs/>
          <w:b/>
        </w:rPr>
        <w:t xml:space="preserve">3.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Could it happen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did it happen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are different questions.</w:t>
      </w:r>
      <w:r>
        <w:t xml:space="preserve"> </w:t>
      </w:r>
      <w:r>
        <w:t xml:space="preserve">Priya reaches for the second one. Most juniors do. The control test is the first one.</w:t>
      </w:r>
    </w:p>
    <w:p>
      <w:pPr>
        <w:pStyle w:val="BodyText"/>
      </w:pPr>
      <w:r>
        <w:rPr>
          <w:bCs/>
          <w:b/>
        </w:rPr>
        <w:t xml:space="preserve">4. Thirty-eight of the forty-one conflicts carried a recorded mitigation.</w:t>
      </w:r>
      <w:r>
        <w:t xml:space="preserve"> </w:t>
      </w:r>
      <w:r>
        <w:t xml:space="preserve">Recorded is not tested. Hold that thought — it comes back on Monday.</w:t>
      </w:r>
    </w:p>
    <w:p>
      <w:pPr>
        <w:pStyle w:val="BodyText"/>
      </w:pPr>
      <w:r>
        <w:rPr>
          <w:bCs/>
          <w:b/>
        </w:rPr>
        <w:t xml:space="preserve">5. The write-up is the finding.</w:t>
      </w:r>
      <w:r>
        <w:t xml:space="preserve"> </w:t>
      </w:r>
      <w:r>
        <w:t xml:space="preserve">Eight months later, when External Audit asks, the only thing that exists is what somebody typed on the day. Not what they remembered. Not what they meant.</w:t>
      </w:r>
    </w:p>
    <w:bookmarkEnd w:id="22"/>
    <w:bookmarkStart w:id="23" w:name="the-question-to-bring-to-class"/>
    <w:p>
      <w:pPr>
        <w:pStyle w:val="Heading2"/>
      </w:pPr>
      <w:r>
        <w:t xml:space="preserve">The question to bring to class</w:t>
      </w:r>
    </w:p>
    <w:p>
      <w:pPr>
        <w:pStyle w:val="FirstParagraph"/>
      </w:pPr>
      <w:r>
        <w:t xml:space="preserve">Roberto says: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You’ve told me thirty-eight of these are mitigated. So really we’re talking about three. Let’s just deal with the three.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Do you accept that framing?</w:t>
      </w:r>
      <w:r>
        <w:t xml:space="preserve"> </w:t>
      </w:r>
      <w:r>
        <w:t xml:space="preserve">Decide before Monday. You will be asked.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the-other-five-module-1-books-in-brief"/>
    <w:p>
      <w:pPr>
        <w:pStyle w:val="Heading1"/>
      </w:pPr>
      <w:r>
        <w:t xml:space="preserve">The other five Module 1 Books, in brief</w:t>
      </w:r>
    </w:p>
    <w:p>
      <w:pPr>
        <w:pStyle w:val="FirstParagraph"/>
      </w:pPr>
      <w:r>
        <w:t xml:space="preserve">You don’t need to know these well yet. Read each one once so the name means something.</w:t>
      </w:r>
    </w:p>
    <w:p>
      <w:pPr>
        <w:pStyle w:val="BodyText"/>
      </w:pPr>
      <w:r>
        <w:t xml:space="preserve">All five are versions of the same question:</w:t>
      </w:r>
      <w:r>
        <w:t xml:space="preserve"> </w:t>
      </w:r>
      <w:r>
        <w:rPr>
          <w:bCs/>
          <w:b/>
        </w:rPr>
        <w:t xml:space="preserve">who can do what, and how do you prove it?</w:t>
      </w:r>
    </w:p>
    <w:p>
      <w:r>
        <w:pict>
          <v:rect style="width:0;height:1.5pt" o:hralign="center" o:hrstd="t" o:hr="t"/>
        </w:pict>
      </w:r>
    </w:p>
    <w:bookmarkStart w:id="25" w:name="book-4-the-next-badge"/>
    <w:p>
      <w:pPr>
        <w:pStyle w:val="Heading2"/>
      </w:pPr>
      <w:r>
        <w:t xml:space="preserve">BOOK 4 — THE NEXT BADGE</w:t>
      </w:r>
    </w:p>
    <w:p>
      <w:pPr>
        <w:pStyle w:val="FirstParagraph"/>
      </w:pPr>
      <w:r>
        <w:rPr>
          <w:bCs/>
          <w:b/>
        </w:rPr>
        <w:t xml:space="preserve">Access · durability of remediation</w:t>
      </w:r>
    </w:p>
    <w:p>
      <w:pPr>
        <w:pStyle w:val="BodyText"/>
      </w:pPr>
      <w:r>
        <w:t xml:space="preserve">Denise Marsh retires. Someone new inherits her seat, her workload, and — the question is — her access.</w:t>
      </w:r>
    </w:p>
    <w:p>
      <w:pPr>
        <w:pStyle w:val="BodyText"/>
      </w:pPr>
      <w:r>
        <w:t xml:space="preserve">The role split from Book 1 was a good fix. But a fix is a fix only if it survives the next person, the next holiday cover, and the next time somebody urgently needs to get something done.</w:t>
      </w:r>
    </w:p>
    <w:p>
      <w:pPr>
        <w:pStyle w:val="BodyText"/>
      </w:pPr>
      <w:r>
        <w:rPr>
          <w:bCs/>
          <w:b/>
        </w:rPr>
        <w:t xml:space="preserve">What’s different:</w:t>
      </w:r>
      <w:r>
        <w:t xml:space="preserve"> </w:t>
      </w:r>
      <w:r>
        <w:t xml:space="preserve">this Book isn’t about finding a conflict. It’s about whether a remediation was</w:t>
      </w:r>
      <w:r>
        <w:t xml:space="preserve"> </w:t>
      </w:r>
      <w:r>
        <w:rPr>
          <w:bCs/>
          <w:b/>
        </w:rPr>
        <w:t xml:space="preserve">durable or personal</w:t>
      </w:r>
      <w:r>
        <w:t xml:space="preserve">. A role split that gets quietly undone the first time someone covers a colleague’s leave was never a control.</w:t>
      </w:r>
    </w:p>
    <w:p>
      <w:pPr>
        <w:pStyle w:val="BodyText"/>
      </w:pPr>
      <w:r>
        <w:rPr>
          <w:bCs/>
          <w:b/>
        </w:rPr>
        <w:t xml:space="preserve">Remember:</w:t>
      </w:r>
      <w:r>
        <w:t xml:space="preserve"> </w:t>
      </w:r>
      <w:r>
        <w:t xml:space="preserve">you test durability by testing the period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the fix, not the moment of it.</w:t>
      </w:r>
    </w:p>
    <w:p>
      <w:r>
        <w:pict>
          <v:rect style="width:0;height:1.5pt" o:hralign="center" o:hrstd="t" o:hr="t"/>
        </w:pict>
      </w:r>
    </w:p>
    <w:bookmarkEnd w:id="25"/>
    <w:bookmarkStart w:id="26" w:name="book-7-the-fourth-chair"/>
    <w:p>
      <w:pPr>
        <w:pStyle w:val="Heading2"/>
      </w:pPr>
      <w:r>
        <w:t xml:space="preserve">BOOK 7 — THE FOURTH CHAIR</w:t>
      </w:r>
    </w:p>
    <w:p>
      <w:pPr>
        <w:pStyle w:val="FirstParagraph"/>
      </w:pPr>
      <w:r>
        <w:rPr>
          <w:bCs/>
          <w:b/>
        </w:rPr>
        <w:t xml:space="preserve">Access · searching for a new conflict</w:t>
      </w:r>
    </w:p>
    <w:p>
      <w:pPr>
        <w:pStyle w:val="BodyText"/>
      </w:pPr>
      <w:r>
        <w:t xml:space="preserve">Priya moves to another engagement. Jamal — newer than she was — is handed Procurement and asked to find a conflict nobody has already identified.</w:t>
      </w:r>
    </w:p>
    <w:p>
      <w:pPr>
        <w:pStyle w:val="BodyText"/>
      </w:pPr>
      <w:r>
        <w:t xml:space="preserve">That’s a different task from everything in Book 1. In Book 1 you confirm a conflict the system flagged. Here, there’s no flag. There’s a process, a system, and a suspicion.</w:t>
      </w:r>
    </w:p>
    <w:p>
      <w:pPr>
        <w:pStyle w:val="BodyText"/>
      </w:pPr>
      <w:r>
        <w:rPr>
          <w:bCs/>
          <w:b/>
        </w:rPr>
        <w:t xml:space="preserve">What’s different:</w:t>
      </w:r>
      <w:r>
        <w:t xml:space="preserve"> </w:t>
      </w:r>
      <w:r>
        <w:t xml:space="preserve">you’re</w:t>
      </w:r>
      <w:r>
        <w:t xml:space="preserve"> </w:t>
      </w:r>
      <w:r>
        <w:rPr>
          <w:bCs/>
          <w:b/>
        </w:rPr>
        <w:t xml:space="preserve">searching</w:t>
      </w:r>
      <w:r>
        <w:t xml:space="preserve">, not confirming. Which means you have to be able to defend why you looked where you looked, and why you didn’t look elsewhere.</w:t>
      </w:r>
    </w:p>
    <w:p>
      <w:pPr>
        <w:pStyle w:val="BodyText"/>
      </w:pPr>
      <w:r>
        <w:rPr>
          <w:bCs/>
          <w:b/>
        </w:rPr>
        <w:t xml:space="preserve">Remember:</w:t>
      </w:r>
      <w:r>
        <w:t xml:space="preserve"> </w:t>
      </w:r>
      <w:r>
        <w:t xml:space="preserve">an unstructured search produces an undefendable workpaper. Structure the search before you run it.</w:t>
      </w:r>
    </w:p>
    <w:p>
      <w:r>
        <w:pict>
          <v:rect style="width:0;height:1.5pt" o:hralign="center" o:hrstd="t" o:hr="t"/>
        </w:pict>
      </w:r>
    </w:p>
    <w:bookmarkEnd w:id="26"/>
    <w:bookmarkStart w:id="27" w:name="book-13-the-tile"/>
    <w:p>
      <w:pPr>
        <w:pStyle w:val="Heading2"/>
      </w:pPr>
      <w:r>
        <w:t xml:space="preserve">BOOK 13 — THE TILE</w:t>
      </w:r>
    </w:p>
    <w:p>
      <w:pPr>
        <w:pStyle w:val="FirstParagraph"/>
      </w:pPr>
      <w:r>
        <w:rPr>
          <w:bCs/>
          <w:b/>
        </w:rPr>
        <w:t xml:space="preserve">Access · the Fiori layer</w:t>
      </w:r>
    </w:p>
    <w:p>
      <w:pPr>
        <w:pStyle w:val="BodyText"/>
      </w:pPr>
      <w:r>
        <w:t xml:space="preserve">A user’s access is</w:t>
      </w:r>
      <w:r>
        <w:t xml:space="preserve"> </w:t>
      </w:r>
      <w:r>
        <w:t xml:space="preserve">“</w:t>
      </w:r>
      <w:r>
        <w:t xml:space="preserve">removed.</w:t>
      </w:r>
      <w:r>
        <w:t xml:space="preserve">”</w:t>
      </w:r>
      <w:r>
        <w:t xml:space="preserve"> </w:t>
      </w:r>
      <w:r>
        <w:t xml:space="preserve">The tile disappears from their Fiori home screen. Everyone is satisfied.</w:t>
      </w:r>
    </w:p>
    <w:p>
      <w:pPr>
        <w:pStyle w:val="BodyText"/>
      </w:pPr>
      <w:r>
        <w:t xml:space="preserve">The underlying authorization is still there. So is the catalog assignment. The access still exists — it’s just no longer visible on that one screen.</w:t>
      </w:r>
    </w:p>
    <w:p>
      <w:pPr>
        <w:pStyle w:val="BodyText"/>
      </w:pPr>
      <w:r>
        <w:rPr>
          <w:bCs/>
          <w:b/>
        </w:rPr>
        <w:t xml:space="preserve">What’s different:</w:t>
      </w:r>
      <w:r>
        <w:t xml:space="preserve"> </w:t>
      </w:r>
      <w:r>
        <w:t xml:space="preserve">this is the</w:t>
      </w:r>
      <w:r>
        <w:t xml:space="preserve"> </w:t>
      </w:r>
      <w:r>
        <w:rPr>
          <w:bCs/>
          <w:b/>
        </w:rPr>
        <w:t xml:space="preserve">two-layer problem</w:t>
      </w:r>
      <w:r>
        <w:t xml:space="preserve">. Fiori has its own catalog and group structure sitting on top of backend authorizations, and the two can disagree. Test the backend role alone and you get a clean, wrong answer.</w:t>
      </w:r>
    </w:p>
    <w:p>
      <w:pPr>
        <w:pStyle w:val="BodyText"/>
      </w:pPr>
      <w:r>
        <w:rPr>
          <w:bCs/>
          <w:b/>
        </w:rPr>
        <w:t xml:space="preserve">Remember:</w:t>
      </w:r>
      <w:r>
        <w:t xml:space="preserve"> </w:t>
      </w:r>
      <w:r>
        <w:rPr>
          <w:bCs/>
          <w:b/>
        </w:rPr>
        <w:t xml:space="preserve">a tile is a shortcut. Removing a shortcut is not removing access.</w:t>
      </w:r>
    </w:p>
    <w:p>
      <w:r>
        <w:pict>
          <v:rect style="width:0;height:1.5pt" o:hralign="center" o:hrstd="t" o:hr="t"/>
        </w:pict>
      </w:r>
    </w:p>
    <w:bookmarkEnd w:id="27"/>
    <w:bookmarkStart w:id="28" w:name="book-16-the-firefighter-log"/>
    <w:p>
      <w:pPr>
        <w:pStyle w:val="Heading2"/>
      </w:pPr>
      <w:r>
        <w:t xml:space="preserve">BOOK 16 — THE FIREFIGHTER LOG</w:t>
      </w:r>
    </w:p>
    <w:p>
      <w:pPr>
        <w:pStyle w:val="FirstParagraph"/>
      </w:pPr>
      <w:r>
        <w:rPr>
          <w:bCs/>
          <w:b/>
        </w:rPr>
        <w:t xml:space="preserve">Access · emergency access</w:t>
      </w:r>
      <w:r>
        <w:t xml:space="preserve"> </w:t>
      </w:r>
      <w:r>
        <w:rPr>
          <w:iCs/>
          <w:i/>
        </w:rPr>
        <w:t xml:space="preserve">(this is an anchor — you’ll cover it at depth on Monday)</w:t>
      </w:r>
    </w:p>
    <w:p>
      <w:pPr>
        <w:pStyle w:val="BodyText"/>
      </w:pPr>
      <w:r>
        <w:t xml:space="preserve">Firefighter access is legitimate. Sometimes production breaks at 2am and someone needs elevated access right now. The controlled answer is a temporary, logged, attributed session —</w:t>
      </w:r>
      <w:r>
        <w:t xml:space="preserve"> </w:t>
      </w:r>
      <w:r>
        <w:rPr>
          <w:bCs/>
          <w:b/>
        </w:rPr>
        <w:t xml:space="preserve">and a review afterwards.</w:t>
      </w:r>
    </w:p>
    <w:p>
      <w:pPr>
        <w:pStyle w:val="BodyText"/>
      </w:pPr>
      <w:r>
        <w:t xml:space="preserve">The review is the control.</w:t>
      </w:r>
    </w:p>
    <w:p>
      <w:pPr>
        <w:pStyle w:val="BodyText"/>
      </w:pPr>
      <w:r>
        <w:t xml:space="preserve">Thornfield’s firefighter access was used</w:t>
      </w:r>
      <w:r>
        <w:t xml:space="preserve"> </w:t>
      </w:r>
      <w:r>
        <w:rPr>
          <w:bCs/>
          <w:b/>
        </w:rPr>
        <w:t xml:space="preserve">thirty-one times</w:t>
      </w:r>
      <w:r>
        <w:t xml:space="preserve"> </w:t>
      </w:r>
      <w:r>
        <w:t xml:space="preserve">in the quarter. It was reviewed</w:t>
      </w:r>
      <w:r>
        <w:t xml:space="preserve"> </w:t>
      </w:r>
      <w:r>
        <w:rPr>
          <w:bCs/>
          <w:b/>
        </w:rPr>
        <w:t xml:space="preserve">twice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What’s different:</w:t>
      </w:r>
      <w:r>
        <w:t xml:space="preserve"> </w:t>
      </w:r>
      <w:r>
        <w:t xml:space="preserve">this is a</w:t>
      </w:r>
      <w:r>
        <w:t xml:space="preserve"> </w:t>
      </w:r>
      <w:r>
        <w:rPr>
          <w:bCs/>
          <w:b/>
        </w:rPr>
        <w:t xml:space="preserve">detective</w:t>
      </w:r>
      <w:r>
        <w:t xml:space="preserve"> </w:t>
      </w:r>
      <w:r>
        <w:t xml:space="preserve">control that simply wasn’t performed. And there’s a trap in it that catches nearly everybody, which is the reason it’s an anchor.</w:t>
      </w:r>
    </w:p>
    <w:p>
      <w:pPr>
        <w:pStyle w:val="BodyText"/>
      </w:pPr>
      <w:r>
        <w:rPr>
          <w:bCs/>
          <w:b/>
        </w:rPr>
        <w:t xml:space="preserve">Remember:</w:t>
      </w:r>
      <w:r>
        <w:t xml:space="preserve"> </w:t>
      </w:r>
      <w:r>
        <w:t xml:space="preserve">the population is every session that</w:t>
      </w:r>
      <w:r>
        <w:t xml:space="preserve"> </w:t>
      </w:r>
      <w:r>
        <w:rPr>
          <w:iCs/>
          <w:i/>
        </w:rPr>
        <w:t xml:space="preserve">occurred</w:t>
      </w:r>
      <w:r>
        <w:t xml:space="preserve">. Not every session that was</w:t>
      </w:r>
      <w:r>
        <w:t xml:space="preserve"> </w:t>
      </w:r>
      <w:r>
        <w:rPr>
          <w:iCs/>
          <w:i/>
        </w:rPr>
        <w:t xml:space="preserve">reviewed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book-17-the-leaver"/>
    <w:p>
      <w:pPr>
        <w:pStyle w:val="Heading2"/>
      </w:pPr>
      <w:r>
        <w:t xml:space="preserve">BOOK 17 — THE LEAVER</w:t>
      </w:r>
    </w:p>
    <w:p>
      <w:pPr>
        <w:pStyle w:val="FirstParagraph"/>
      </w:pPr>
      <w:r>
        <w:rPr>
          <w:bCs/>
          <w:b/>
        </w:rPr>
        <w:t xml:space="preserve">Access · joiner-mover-leaver</w:t>
      </w:r>
      <w:r>
        <w:t xml:space="preserve"> </w:t>
      </w:r>
      <w:r>
        <w:rPr>
          <w:iCs/>
          <w:i/>
        </w:rPr>
        <w:t xml:space="preserve">(this is an anchor — you’ll cover it at depth on Monday, and it’s your first workpaper next week)</w:t>
      </w:r>
    </w:p>
    <w:p>
      <w:pPr>
        <w:pStyle w:val="BodyText"/>
      </w:pPr>
      <w:r>
        <w:t xml:space="preserve">A terminated employee logged into SAP four days ago. Five weeks after his last day.</w:t>
      </w:r>
    </w:p>
    <w:p>
      <w:pPr>
        <w:pStyle w:val="BodyText"/>
      </w:pPr>
      <w:r>
        <w:t xml:space="preserve">Joiner-Mover-Leaver has three parts, and Leaver is always the weakest, for a very human reason. Joining is urgent — someone can’t work. Moving is urgent — someone can’t work.</w:t>
      </w:r>
      <w:r>
        <w:t xml:space="preserve"> </w:t>
      </w:r>
      <w:r>
        <w:rPr>
          <w:bCs/>
          <w:b/>
        </w:rPr>
        <w:t xml:space="preserve">Leaving is urgent to nobody.</w:t>
      </w:r>
      <w:r>
        <w:t xml:space="preserve"> </w:t>
      </w:r>
      <w:r>
        <w:t xml:space="preserve">HR closes the file. IT never hears. The account stays live.</w:t>
      </w:r>
    </w:p>
    <w:p>
      <w:pPr>
        <w:pStyle w:val="BodyText"/>
      </w:pPr>
      <w:r>
        <w:rPr>
          <w:bCs/>
          <w:b/>
        </w:rPr>
        <w:t xml:space="preserve">What’s different:</w:t>
      </w:r>
      <w:r>
        <w:t xml:space="preserve"> </w:t>
      </w:r>
      <w:r>
        <w:t xml:space="preserve">everything turns on where the population comes from. Take it from IT’s list of disabled accounts and you’ve defined your population as</w:t>
      </w:r>
      <w:r>
        <w:t xml:space="preserve"> </w:t>
      </w:r>
      <w:r>
        <w:t xml:space="preserve">“</w:t>
      </w:r>
      <w:r>
        <w:t xml:space="preserve">the ones that worked.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Remember:</w:t>
      </w:r>
      <w:r>
        <w:t xml:space="preserve"> </w:t>
      </w:r>
      <w:r>
        <w:t xml:space="preserve">the population comes from</w:t>
      </w:r>
      <w:r>
        <w:t xml:space="preserve"> </w:t>
      </w:r>
      <w:r>
        <w:rPr>
          <w:bCs/>
          <w:b/>
        </w:rPr>
        <w:t xml:space="preserve">HR</w:t>
      </w:r>
      <w:r>
        <w:t xml:space="preserve">, not from IT.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where-these-books-live-in-the-app"/>
    <w:p>
      <w:pPr>
        <w:pStyle w:val="Heading1"/>
      </w:pPr>
      <w:r>
        <w:t xml:space="preserve">Where these Books live in the app</w:t>
      </w:r>
    </w:p>
    <w:p>
      <w:pPr>
        <w:pStyle w:val="FirstParagraph"/>
      </w:pPr>
      <w:r>
        <w:t xml:space="preserve">You will read execution steps for all of these in the</w:t>
      </w:r>
      <w:r>
        <w:t xml:space="preserve"> </w:t>
      </w:r>
      <w:r>
        <w:rPr>
          <w:bCs/>
          <w:b/>
        </w:rPr>
        <w:t xml:space="preserve">SAP Testing Execution Guide app</w:t>
      </w:r>
      <w:r>
        <w:t xml:space="preserve">, which groups them differently.</w:t>
      </w:r>
    </w:p>
    <w:p>
      <w:pPr>
        <w:pStyle w:val="BodyText"/>
      </w:pPr>
      <w:r>
        <w:rPr>
          <w:bCs/>
          <w:b/>
        </w:rPr>
        <w:t xml:space="preserve">All five of Module 1’s remaining Books, plus the three anchors, sit in the app’s Part I — Access Control &amp; Identity.</w:t>
      </w:r>
      <w:r>
        <w:t xml:space="preserve"> </w:t>
      </w:r>
      <w:r>
        <w:t xml:space="preserve">Books 01, 04, 07, 13, 16, 17.</w:t>
      </w:r>
    </w:p>
    <w:p>
      <w:pPr>
        <w:pStyle w:val="BodyText"/>
      </w:pPr>
      <w:r>
        <w:rPr>
          <w:bCs/>
          <w:b/>
        </w:rPr>
        <w:t xml:space="preserve">Book 20, The Back Door, has moved to Module 2.</w:t>
      </w:r>
      <w:r>
        <w:t xml:space="preserve"> </w:t>
      </w:r>
      <w:r>
        <w:t xml:space="preserve">The app files it under Part II — Change &amp; Operations, as custom-code testing, and your study guide agrees. You will meet it on Wednesday.</w:t>
      </w:r>
    </w:p>
    <w:p>
      <w:pPr>
        <w:pStyle w:val="BodyText"/>
      </w:pPr>
      <w:r>
        <w:rPr>
          <w:bCs/>
          <w:b/>
        </w:rPr>
        <w:t xml:space="preserve">One warning about the app.</w:t>
      </w:r>
      <w:r>
        <w:t xml:space="preserve"> </w:t>
      </w:r>
      <w:r>
        <w:t xml:space="preserve">The counter at the top right of a Book page shows the Book’s</w:t>
      </w:r>
      <w:r>
        <w:t xml:space="preserve"> </w:t>
      </w:r>
      <w:r>
        <w:rPr>
          <w:bCs/>
          <w:b/>
        </w:rPr>
        <w:t xml:space="preserve">position in the app’s sequence</w:t>
      </w:r>
      <w:r>
        <w:t xml:space="preserve">, not its Book number. They disagree on nineteen of the twenty-two Books.</w:t>
      </w:r>
      <w:r>
        <w:t xml:space="preserve"> </w:t>
      </w:r>
      <w:r>
        <w:rPr>
          <w:bCs/>
          <w:b/>
        </w:rPr>
        <w:t xml:space="preserve">Go by the number in the page header</w:t>
      </w:r>
      <w:r>
        <w:t xml:space="preserve">, and by the numbers in this pack.</w:t>
      </w:r>
    </w:p>
    <w:p>
      <w:r>
        <w:pict>
          <v:rect style="width:0;height:1.5pt" o:hralign="center" o:hrstd="t" o:hr="t"/>
        </w:pict>
      </w:r>
    </w:p>
    <w:bookmarkEnd w:id="31"/>
    <w:bookmarkStart w:id="32" w:name="before-you-come-to-class"/>
    <w:p>
      <w:pPr>
        <w:pStyle w:val="Heading1"/>
      </w:pPr>
      <w:r>
        <w:t xml:space="preserve">Before you come to class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Study guide Part 1 read in full.</w:t>
      </w:r>
      <w:r>
        <w:t xml:space="preserve"> </w:t>
      </w:r>
      <w:r>
        <w:t xml:space="preserve">Not skimmed.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other five read once.</w:t>
      </w:r>
      <w:r>
        <w:t xml:space="preserve"> </w:t>
      </w:r>
      <w:r>
        <w:t xml:space="preserve">Names and shapes, that’s all.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 answer ready</w:t>
      </w:r>
      <w:r>
        <w:t xml:space="preserve"> </w:t>
      </w:r>
      <w:r>
        <w:t xml:space="preserve">to Roberto’s question about the thirty-eight.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 sentence</w:t>
      </w:r>
      <w:r>
        <w:t xml:space="preserve"> </w:t>
      </w:r>
      <w:r>
        <w:t xml:space="preserve">on what you’re most nervous about in this course. You’ll be asked in the first ten minutes.</w:t>
      </w:r>
    </w:p>
    <w:p>
      <w:pPr>
        <w:pStyle w:val="FirstParagraph"/>
      </w:pPr>
      <w:r>
        <w:t xml:space="preserve">You don’t need to know any SAP. Monday spends thirty minutes on it from zero.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64" w:lineRule="auto"/>
    </w:pPr>
    <w:rPr>
      <w:rFonts w:ascii="Calibri" w:cs="Calibri" w:hAnsi="Calibri"/>
      <w:color w:val="1F2933"/>
      <w:sz w:val="21"/>
      <w:szCs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Normal"/>
    <w:qFormat/>
    <w:pPr>
      <w:keepNext/>
      <w:spacing w:after="80" w:before="0"/>
      <w:pBdr>
        <w:bottom w:color="C87F16" w:space="6" w:sz="18" w:val="single"/>
      </w:pBdr>
    </w:pPr>
    <w:rPr>
      <w:rFonts w:ascii="Cambria" w:hAnsi="Cambria"/>
      <w:b/>
      <w:color w:val="12203A"/>
      <w:sz w:val="40"/>
      <w:szCs w:val="40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qFormat/>
    <w:pPr>
      <w:keepNext/>
      <w:spacing w:after="140" w:before="360"/>
      <w:pBdr>
        <w:bottom w:color="D6DEEA" w:space="5" w:sz="8" w:val="single"/>
      </w:pBdr>
      <w:outlineLvl w:val="0"/>
    </w:pPr>
    <w:rPr>
      <w:rFonts w:ascii="Cambria" w:hAnsi="Cambria"/>
      <w:b/>
      <w:color w:val="1B3358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spacing w:after="100" w:before="280"/>
      <w:outlineLvl w:val="1"/>
    </w:pPr>
    <w:rPr>
      <w:rFonts w:ascii="Cambria" w:hAnsi="Cambria"/>
      <w:b/>
      <w:color w:val="1B3358"/>
      <w:sz w:val="24"/>
      <w:szCs w:val="24"/>
    </w:rPr>
  </w:style>
  <w:style w:styleId="Heading3" w:type="paragraph">
    <w:name w:val="heading 3"/>
    <w:basedOn w:val="Normal"/>
    <w:next w:val="Normal"/>
    <w:qFormat/>
    <w:pPr>
      <w:keepNext/>
      <w:spacing w:after="80" w:before="240"/>
      <w:outlineLvl w:val="2"/>
    </w:pPr>
    <w:rPr>
      <w:rFonts w:ascii="Calibri" w:hAnsi="Calibri"/>
      <w:b/>
      <w:color w:val="C87F16"/>
      <w:sz w:val="21"/>
      <w:szCs w:val="21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Normal"/>
    <w:pPr>
      <w:pBdr>
        <w:left w:color="C87F16" w:space="10" w:sz="18" w:val="single"/>
      </w:pBdr>
      <w:ind w:left="288"/>
      <w:spacing w:after="140" w:before="140"/>
    </w:pPr>
    <w:rPr>
      <w:i/>
      <w:color w:val="5A6B8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59"/>
    <w:pPr>
      <w:spacing w:after="40" w:before="40" w:line="240" w:lineRule="auto"/>
    </w:pPr>
    <w:rPr>
      <w:rFonts w:ascii="Calibri" w:hAnsi="Calibri"/>
      <w:sz w:val="19"/>
      <w:szCs w:val="19"/>
    </w:rPr>
    <w:tblPr>
      <w:tblBorders>
        <w:top w:color="D6DEEA" w:space="0" w:sz="4" w:val="single"/>
        <w:left w:color="auto" w:space="0" w:sz="0" w:val="none"/>
        <w:bottom w:color="D6DEEA" w:space="0" w:sz="4" w:val="single"/>
        <w:right w:color="auto" w:space="0" w:sz="0" w:val="none"/>
        <w:insideH w:color="D6DEEA" w:space="0" w:sz="4" w:val="single"/>
        <w:insideV w:color="auto" w:space="0" w:sz="0" w:val="none"/>
      </w:tblBorders>
      <w:tblCellMar>
        <w:top w:type="dxa" w:w="72"/>
        <w:left w:type="dxa" w:w="108"/>
        <w:bottom w:type="dxa" w:w="72"/>
        <w:right w:type="dxa" w:w="108"/>
      </w:tblCellMar>
    </w:tblPr>
    <w:tblStylePr w:type="firstRow">
      <w:pPr>
        <w:spacing w:after="60" w:before="60"/>
      </w:pPr>
      <w:rPr>
        <w:rFonts w:ascii="Calibri" w:hAnsi="Calibri"/>
        <w:b/>
        <w:color w:val="FFFFFF"/>
        <w:sz w:val="19"/>
      </w:rPr>
      <w:tcPr>
        <w:shd w:color="auto" w:fill="1B3358" w:val="clear"/>
        <w:tcBorders>
          <w:bottom w:color="1B3358" w:space="0" w:sz="4" w:val="single"/>
        </w:tcBorders>
      </w:tcPr>
    </w:tblStylePr>
    <w:tblStylePr w:type="band2Horz">
      <w:tcPr>
        <w:shd w:color="auto" w:fill="F5F8FC" w:val="clear"/>
      </w:tcPr>
    </w:tblStylePr>
    <w:tblStylePr w:type="firstCol">
      <w:rPr>
        <w:b/>
        <w:color w:val="1B3358"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Reading Pack 1 — Before Monday, Week 1</dc:title>
  <dc:creator>SAP SOX / ITGC Controls — Course 1: The Full Sweep · Thornfield Industrial Group</dc:creator>
  <cp:keywords/>
  <dcterms:created xsi:type="dcterms:W3CDTF">2026-09-05T23:33:23Z</dcterms:created>
  <dcterms:modified xsi:type="dcterms:W3CDTF">2026-09-05T23:33:23Z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Module 1 · Access, Identity &amp; Authorization</vt:lpwstr>
  </property>
</Properties>
</file>