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Reading</w:t>
      </w:r>
      <w:r>
        <w:t xml:space="preserve"> </w:t>
      </w:r>
      <w:r>
        <w:t xml:space="preserve">Pack</w:t>
      </w:r>
      <w:r>
        <w:t xml:space="preserve"> </w:t>
      </w:r>
      <w: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Before</w:t>
      </w:r>
      <w:r>
        <w:t xml:space="preserve"> </w:t>
      </w:r>
      <w:r>
        <w:t xml:space="preserve">Monday,</w:t>
      </w:r>
      <w:r>
        <w:t xml:space="preserve"> </w:t>
      </w:r>
      <w:r>
        <w:t xml:space="preserve">Week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Module</w:t>
      </w:r>
      <w:r>
        <w:t xml:space="preserve"> </w:t>
      </w:r>
      <w:r>
        <w:t xml:space="preserve">1</w:t>
      </w:r>
      <w:r>
        <w:t xml:space="preserve"> </w:t>
      </w:r>
      <w:r>
        <w:t xml:space="preserve">hands</w:t>
      </w:r>
      <w:r>
        <w:t xml:space="preserve"> </w:t>
      </w:r>
      <w:r>
        <w:t xml:space="preserve">on</w:t>
      </w:r>
      <w:r>
        <w:t xml:space="preserve"> </w:t>
      </w:r>
      <w:r>
        <w:t xml:space="preserve">·</w:t>
      </w:r>
      <w:r>
        <w:t xml:space="preserve"> </w:t>
      </w:r>
      <w:r>
        <w:t xml:space="preserve">Books</w:t>
      </w:r>
      <w:r>
        <w:t xml:space="preserve"> </w:t>
      </w:r>
      <w:r>
        <w:t xml:space="preserve">1,</w:t>
      </w:r>
      <w:r>
        <w:t xml:space="preserve"> </w:t>
      </w:r>
      <w:r>
        <w:t xml:space="preserve">16</w:t>
      </w:r>
      <w:r>
        <w:t xml:space="preserve"> </w:t>
      </w:r>
      <w:r>
        <w:t xml:space="preserve">and</w:t>
      </w:r>
      <w:r>
        <w:t xml:space="preserve"> </w:t>
      </w:r>
      <w:r>
        <w:t xml:space="preserve">17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1: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Sweep</w:t>
      </w:r>
      <w:r>
        <w:t xml:space="preserve"> </w:t>
      </w:r>
      <w:r>
        <w:t xml:space="preserve">·</w:t>
      </w:r>
      <w:r>
        <w:t xml:space="preserve"> </w:t>
      </w:r>
      <w:r>
        <w:t xml:space="preserve">Thornfield</w:t>
      </w:r>
      <w:r>
        <w:t xml:space="preserve"> </w:t>
      </w:r>
      <w:r>
        <w:t xml:space="preserve">Industrial</w:t>
      </w:r>
      <w:r>
        <w:t xml:space="preserve"> </w:t>
      </w:r>
      <w:r>
        <w:t xml:space="preserve">Group</w:t>
      </w:r>
    </w:p>
    <w:bookmarkStart w:id="20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t xml:space="preserve">This is a different kind of reading.</w:t>
      </w:r>
      <w:r>
        <w:t xml:space="preserve"> </w:t>
      </w:r>
      <w:r>
        <w:rPr>
          <w:bCs/>
          <w:b/>
        </w:rPr>
        <w:t xml:space="preserve">You are not re-reading the stories.</w:t>
      </w:r>
      <w:r>
        <w:t xml:space="preserve"> </w:t>
      </w:r>
      <w:r>
        <w:t xml:space="preserve">You know them.</w:t>
      </w:r>
    </w:p>
    <w:p>
      <w:pPr>
        <w:pStyle w:val="BodyText"/>
      </w:pPr>
      <w:r>
        <w:t xml:space="preserve">You’re reading the screens, so they aren’t a surprise when someone else is driving them.</w:t>
      </w:r>
    </w:p>
    <w:p>
      <w:pPr>
        <w:pStyle w:val="BodyText"/>
      </w:pPr>
      <w:r>
        <w:rPr>
          <w:bCs/>
          <w:b/>
        </w:rPr>
        <w:t xml:space="preserve">Total time: about 45 minutes.</w:t>
      </w:r>
    </w:p>
    <w:p>
      <w:pPr>
        <w:pStyle w:val="BodyText"/>
      </w:pPr>
      <w:r>
        <w:rPr>
          <w:bCs/>
          <w:b/>
        </w:rPr>
        <w:t xml:space="preserve">Do all three of these before Monday: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 into SAP and the live course.</w:t>
      </w:r>
      <w:r>
        <w:t xml:space="preserve"> </w:t>
      </w:r>
      <w:r>
        <w:t xml:space="preserve">Today or tomorrow — not Monday. If either fails, say so before the weekend ends.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 your screen up.</w:t>
      </w:r>
      <w:r>
        <w:t xml:space="preserve"> </w:t>
      </w:r>
      <w:r>
        <w:t xml:space="preserve">Two windows side by side, both visible. Not tabbed.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Bring your Planning Cards</w:t>
      </w:r>
      <w:r>
        <w:t xml:space="preserve"> </w:t>
      </w:r>
      <w:r>
        <w:t xml:space="preserve">for Books 16 and 17.</w:t>
      </w:r>
    </w:p>
    <w:p>
      <w:r>
        <w:pict>
          <v:rect style="width:0;height:1.5pt" o:hralign="center" o:hrstd="t" o:hr="t"/>
        </w:pict>
      </w:r>
    </w:p>
    <w:bookmarkEnd w:id="20"/>
    <w:bookmarkStart w:id="21" w:name="how-this-pack-works-with-the-app"/>
    <w:p>
      <w:pPr>
        <w:pStyle w:val="Heading1"/>
      </w:pPr>
      <w:r>
        <w:t xml:space="preserve">How this pack works with the app</w:t>
      </w:r>
    </w:p>
    <w:p>
      <w:pPr>
        <w:pStyle w:val="FirstParagraph"/>
      </w:pPr>
      <w:r>
        <w:rPr>
          <w:bCs/>
          <w:b/>
        </w:rPr>
        <w:t xml:space="preserve">You will run these tests in the SAP Testing Execution Guide app.</w:t>
      </w:r>
      <w:r>
        <w:t xml:space="preserve"> </w:t>
      </w:r>
      <w:r>
        <w:t xml:space="preserve">The app gives you the screens. This pack gives you what the app has no field for.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The app gives you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This pack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 BRIEF</w:t>
            </w:r>
            <w:r>
              <w:t xml:space="preserve"> </w:t>
            </w:r>
            <w:r>
              <w:t xml:space="preserve">— the task, in a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control objective and the business risk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 STEPS</w:t>
            </w:r>
            <w:r>
              <w:t xml:space="preserve"> </w:t>
            </w:r>
            <w:r>
              <w:t xml:space="preserve">— the exact screens and clicks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population, and how you know it’s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EXHIBIT — EVIDENCE LOG</w:t>
            </w:r>
            <w:r>
              <w:t xml:space="preserve"> </w:t>
            </w:r>
            <w:r>
              <w:t xml:space="preserve">— what to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goes:</w:t>
            </w:r>
            <w:r>
              <w:t xml:space="preserve"> </w:t>
            </w:r>
            <w:r>
              <w:rPr>
                <w:bCs/>
                <w:b/>
              </w:rPr>
              <w:t xml:space="preserve">your workpaper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CAUTION</w:t>
            </w:r>
            <w:r>
              <w:t xml:space="preserve"> </w:t>
            </w:r>
            <w:r>
              <w:t xml:space="preserve">— on most Books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deliberate mistakes, and what a reviewer will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conclude, and in what words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things about the app worth knowing before Monday.</w:t>
      </w:r>
    </w:p>
    <w:p>
      <w:pPr>
        <w:pStyle w:val="BodyText"/>
      </w:pPr>
      <w:r>
        <w:rPr>
          <w:bCs/>
          <w:b/>
        </w:rPr>
        <w:t xml:space="preserve">The counter lies about Book numbers.</w:t>
      </w:r>
      <w:r>
        <w:t xml:space="preserve"> </w:t>
      </w:r>
      <w:r>
        <w:t xml:space="preserve">Top right of a Book page shows something like</w:t>
      </w:r>
      <w:r>
        <w:t xml:space="preserve"> </w:t>
      </w:r>
      <w:r>
        <w:rPr>
          <w:rStyle w:val="VerbatimChar"/>
        </w:rPr>
        <w:t xml:space="preserve">BOOK 2 OF 22</w:t>
      </w:r>
      <w:r>
        <w:t xml:space="preserve">. That’s the Book’s</w:t>
      </w:r>
      <w:r>
        <w:t xml:space="preserve"> </w:t>
      </w:r>
      <w:r>
        <w:rPr>
          <w:bCs/>
          <w:b/>
        </w:rPr>
        <w:t xml:space="preserve">position in the app’s sequence</w:t>
      </w:r>
      <w:r>
        <w:t xml:space="preserve">, not its number — the header above it has the real one. Go by the header.</w:t>
      </w:r>
    </w:p>
    <w:p>
      <w:pPr>
        <w:pStyle w:val="BodyText"/>
      </w:pPr>
      <w:r>
        <w:rPr>
          <w:bCs/>
          <w:b/>
        </w:rPr>
        <w:t xml:space="preserve">Nothing you do in the app is stored except which Books you finished.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Not yet captured</w:t>
      </w:r>
      <w:r>
        <w:t xml:space="preserve"> </w:t>
      </w:r>
      <w:r>
        <w:t xml:space="preserve">slot is a caption, not an upload. There is no export.</w:t>
      </w:r>
      <w:r>
        <w:t xml:space="preserve"> </w:t>
      </w:r>
      <w:r>
        <w:rPr>
          <w:bCs/>
          <w:b/>
        </w:rPr>
        <w:t xml:space="preserve">Every screenshot goes into your own workpaper.</w:t>
      </w:r>
    </w:p>
    <w:p>
      <w:pPr>
        <w:pStyle w:val="BodyText"/>
      </w:pPr>
      <w:r>
        <w:rPr>
          <w:bCs/>
          <w:b/>
        </w:rPr>
        <w:t xml:space="preserve">The forward arrow at the bottom right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Finish this Book</w:t>
      </w:r>
      <w:r>
        <w:rPr>
          <w:bCs/>
          <w:b/>
        </w:rPr>
        <w:t xml:space="preserve">”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It looks identical to the Previous arrow beside it. Clicking it marks the Book complete.</w:t>
      </w:r>
    </w:p>
    <w:p>
      <w:r>
        <w:pict>
          <v:rect style="width:0;height:1.5pt" o:hralign="center" o:hrstd="t" o:hr="t"/>
        </w:pict>
      </w:r>
    </w:p>
    <w:bookmarkEnd w:id="21"/>
    <w:bookmarkStart w:id="23" w:name="how-monday-works"/>
    <w:p>
      <w:pPr>
        <w:pStyle w:val="Heading1"/>
      </w:pPr>
      <w:r>
        <w:t xml:space="preserve">How Monday works</w:t>
      </w:r>
    </w:p>
    <w:p>
      <w:pPr>
        <w:pStyle w:val="FirstParagraph"/>
      </w:pPr>
      <w:r>
        <w:t xml:space="preserve">Two halves, an hour each.</w:t>
      </w:r>
    </w:p>
    <w:p>
      <w:pPr>
        <w:pStyle w:val="BodyText"/>
      </w:pPr>
      <w:r>
        <w:rPr>
          <w:bCs/>
          <w:b/>
        </w:rPr>
        <w:t xml:space="preserve">First hour — the facilitator drives.</w:t>
      </w:r>
      <w:r>
        <w:t xml:space="preserve"> </w:t>
      </w:r>
      <w:r>
        <w:t xml:space="preserve">Screen shared, three tests demonstrated end to end. Before each demonstration there’s a six-minute decision from the story, argued as a class. Nobody types.</w:t>
      </w:r>
    </w:p>
    <w:p>
      <w:pPr>
        <w:pStyle w:val="BodyText"/>
      </w:pPr>
      <w:r>
        <w:rPr>
          <w:bCs/>
          <w:b/>
        </w:rPr>
        <w:t xml:space="preserve">Second hour — you drive.</w:t>
      </w:r>
      <w:r>
        <w:t xml:space="preserve"> </w:t>
      </w:r>
      <w:r>
        <w:t xml:space="preserve">Same three tests, your own login, in pairs. Swap the keyboard at every Book.</w:t>
      </w:r>
    </w:p>
    <w:bookmarkStart w:id="22" w:name="two-rules-for-the-whole-week"/>
    <w:p>
      <w:pPr>
        <w:pStyle w:val="Heading2"/>
      </w:pPr>
      <w:r>
        <w:t xml:space="preserve">Two rules for the whole week</w:t>
      </w:r>
    </w:p>
    <w:p>
      <w:pPr>
        <w:pStyle w:val="FirstParagraph"/>
      </w:pPr>
      <w:r>
        <w:rPr>
          <w:bCs/>
          <w:b/>
        </w:rPr>
        <w:t xml:space="preserve">Display only.</w:t>
      </w:r>
      <w:r>
        <w:t xml:space="preserve"> </w:t>
      </w:r>
      <w:r>
        <w:t xml:space="preserve">You’re in a training environment, but build the habit now. In a real client production system you have display access and nothing else. If you land on a screen with a button that changes something, you don’t press it. Not to see what happens. Not because it’s a sandbox.</w:t>
      </w:r>
    </w:p>
    <w:p>
      <w:pPr>
        <w:pStyle w:val="BodyText"/>
      </w:pPr>
      <w:r>
        <w:rPr>
          <w:bCs/>
          <w:b/>
        </w:rPr>
        <w:t xml:space="preserve">Planning Card before transaction code.</w:t>
      </w:r>
      <w:r>
        <w:t xml:space="preserve"> </w:t>
      </w:r>
      <w:r>
        <w:t xml:space="preserve">Every time you’re about to type a T-code, glance at field 5. If you can’t say what your population is, you’re not ready to type.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81142328c815499863e62b73dcd49d5e8529cb3"/>
    <w:p>
      <w:pPr>
        <w:pStyle w:val="Heading1"/>
      </w:pPr>
      <w:r>
        <w:t xml:space="preserve">Five things you need before you type anything</w:t>
      </w:r>
    </w:p>
    <w:p>
      <w:pPr>
        <w:pStyle w:val="FirstParagraph"/>
      </w:pPr>
      <w:r>
        <w:t xml:space="preserve">You don’t need to memorise these. Read them once so Monday’s first eight minutes are a reminder rather than a lecture.</w:t>
      </w:r>
    </w:p>
    <w:bookmarkStart w:id="24" w:name="the-client"/>
    <w:p>
      <w:pPr>
        <w:pStyle w:val="Heading2"/>
      </w:pPr>
      <w:r>
        <w:t xml:space="preserve">1. The client</w:t>
      </w:r>
    </w:p>
    <w:p>
      <w:pPr>
        <w:pStyle w:val="FirstParagraph"/>
      </w:pPr>
      <w:r>
        <w:t xml:space="preserve">The SAP logon screen has four fields: client, user, password, language.</w:t>
      </w:r>
    </w:p>
    <w:p>
      <w:pPr>
        <w:pStyle w:val="BodyText"/>
      </w:pPr>
      <w:r>
        <w:rPr>
          <w:bCs/>
          <w:b/>
        </w:rPr>
        <w:t xml:space="preserve">The one that matters to you is client.</w:t>
      </w:r>
      <w:r>
        <w:t xml:space="preserve"> </w:t>
      </w:r>
      <w:r>
        <w:t xml:space="preserve">A client is a self-contained data environment inside the same system. Client 100 and client 200 on the same box are different worlds, with different data.</w:t>
      </w:r>
    </w:p>
    <w:p>
      <w:pPr>
        <w:pStyle w:val="BodyText"/>
      </w:pPr>
      <w:r>
        <w:t xml:space="preserve">Which means: if your workpaper says</w:t>
      </w:r>
      <w:r>
        <w:t xml:space="preserve"> </w:t>
      </w:r>
      <w:r>
        <w:t xml:space="preserve">“</w:t>
      </w:r>
      <w:r>
        <w:t xml:space="preserve">SAP</w:t>
      </w:r>
      <w:r>
        <w:t xml:space="preserve">”</w:t>
      </w:r>
      <w:r>
        <w:t xml:space="preserve"> </w:t>
      </w:r>
      <w:r>
        <w:t xml:space="preserve">and doesn’t say which system and which client, you haven’t identified where your evidence came from.</w:t>
      </w:r>
    </w:p>
    <w:bookmarkEnd w:id="24"/>
    <w:bookmarkStart w:id="25" w:name="the-command-field"/>
    <w:p>
      <w:pPr>
        <w:pStyle w:val="Heading2"/>
      </w:pPr>
      <w:r>
        <w:t xml:space="preserve">2. The command field</w:t>
      </w:r>
    </w:p>
    <w:p>
      <w:pPr>
        <w:pStyle w:val="FirstParagraph"/>
      </w:pPr>
      <w:r>
        <w:t xml:space="preserve">The SAP Easy Access screen shows a menu tree.</w:t>
      </w:r>
      <w:r>
        <w:t xml:space="preserve"> </w:t>
      </w:r>
      <w:r>
        <w:rPr>
          <w:bCs/>
          <w:b/>
        </w:rPr>
        <w:t xml:space="preserve">You will almost never use it.</w:t>
      </w:r>
      <w:r>
        <w:t xml:space="preserve"> </w:t>
      </w:r>
      <w:r>
        <w:t xml:space="preserve">Nobody navigates SAP by menu. Everyone types.</w:t>
      </w:r>
    </w:p>
    <w:p>
      <w:pPr>
        <w:pStyle w:val="BodyText"/>
      </w:pPr>
      <w:r>
        <w:t xml:space="preserve">The box at the top left is the</w:t>
      </w:r>
      <w:r>
        <w:t xml:space="preserve"> </w:t>
      </w:r>
      <w:r>
        <w:rPr>
          <w:bCs/>
          <w:b/>
        </w:rPr>
        <w:t xml:space="preserve">command field</w:t>
      </w:r>
      <w:r>
        <w:t xml:space="preserve">. Type a transaction code, press Enter, you’re there. That’s your entire navigation.</w:t>
      </w:r>
    </w:p>
    <w:bookmarkEnd w:id="25"/>
    <w:bookmarkStart w:id="26" w:name="n-and-o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/n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</w:t>
      </w:r>
    </w:p>
    <w:p>
      <w:pPr>
        <w:pStyle w:val="FirstParagraph"/>
      </w:pPr>
      <w:r>
        <w:rPr>
          <w:rStyle w:val="VerbatimChar"/>
          <w:bCs/>
          <w:b/>
        </w:rPr>
        <w:t xml:space="preserve">/n</w:t>
      </w:r>
      <w:r>
        <w:t xml:space="preserve"> </w:t>
      </w:r>
      <w:r>
        <w:t xml:space="preserve">before a transaction code means</w:t>
      </w:r>
      <w:r>
        <w:t xml:space="preserve"> </w:t>
      </w:r>
      <w:r>
        <w:rPr>
          <w:iCs/>
          <w:i/>
        </w:rPr>
        <w:t xml:space="preserve">close what I’m in, and go there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/o</w:t>
      </w:r>
      <w:r>
        <w:t xml:space="preserve"> </w:t>
      </w:r>
      <w:r>
        <w:t xml:space="preserve">before it means</w:t>
      </w:r>
      <w:r>
        <w:t xml:space="preserve"> </w:t>
      </w:r>
      <w:r>
        <w:rPr>
          <w:iCs/>
          <w:i/>
        </w:rPr>
        <w:t xml:space="preserve">open that in a new window and keep this one</w:t>
      </w:r>
      <w:r>
        <w:t xml:space="preserve">.</w:t>
      </w:r>
    </w:p>
    <w:p>
      <w:pPr>
        <w:pStyle w:val="BodyText"/>
      </w:pPr>
      <w:r>
        <w:t xml:space="preserve">You’ll want</w:t>
      </w:r>
      <w:r>
        <w:t xml:space="preserve"> </w:t>
      </w:r>
      <w:r>
        <w:rPr>
          <w:rStyle w:val="VerbatimChar"/>
        </w:rPr>
        <w:t xml:space="preserve">/o</w:t>
      </w:r>
      <w:r>
        <w:t xml:space="preserve"> </w:t>
      </w:r>
      <w:r>
        <w:t xml:space="preserve">constantly. This job is comparing two things at once.</w:t>
      </w:r>
    </w:p>
    <w:bookmarkEnd w:id="26"/>
    <w:bookmarkStart w:id="27" w:name="f1-and-f4"/>
    <w:p>
      <w:pPr>
        <w:pStyle w:val="Heading2"/>
      </w:pPr>
      <w:r>
        <w:t xml:space="preserve">4. F1 and F4</w:t>
      </w:r>
    </w:p>
    <w:p>
      <w:pPr>
        <w:pStyle w:val="FirstParagraph"/>
      </w:pPr>
      <w:r>
        <w:rPr>
          <w:bCs/>
          <w:b/>
        </w:rPr>
        <w:t xml:space="preserve">F1</w:t>
      </w:r>
      <w:r>
        <w:t xml:space="preserve"> </w:t>
      </w:r>
      <w:r>
        <w:t xml:space="preserve">on any field tells you what that field is. Not what it does in your process — what SAP thinks it is.</w:t>
      </w:r>
    </w:p>
    <w:p>
      <w:pPr>
        <w:pStyle w:val="BodyText"/>
      </w:pPr>
      <w:r>
        <w:rPr>
          <w:bCs/>
          <w:b/>
        </w:rPr>
        <w:t xml:space="preserve">F4</w:t>
      </w:r>
      <w:r>
        <w:t xml:space="preserve"> </w:t>
      </w:r>
      <w:r>
        <w:t xml:space="preserve">shows you the allowed values. When you’re testing a system you don’t know, F4 is how you find out what the choices even are.</w:t>
      </w:r>
    </w:p>
    <w:p>
      <w:pPr>
        <w:pStyle w:val="BodyText"/>
      </w:pPr>
      <w:r>
        <w:t xml:space="preserve">Juniors guess. F4 is faster than guessing, and it’s correct.</w:t>
      </w:r>
    </w:p>
    <w:bookmarkEnd w:id="27"/>
    <w:bookmarkStart w:id="28" w:name="system-statu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System › Status</w:t>
      </w:r>
    </w:p>
    <w:p>
      <w:pPr>
        <w:pStyle w:val="FirstParagraph"/>
      </w:pPr>
      <w:r>
        <w:t xml:space="preserve">Tells you which system and which client you’re actually sitting in.</w:t>
      </w:r>
    </w:p>
    <w:p>
      <w:pPr>
        <w:pStyle w:val="BodyText"/>
      </w:pPr>
      <w:r>
        <w:rPr>
          <w:bCs/>
          <w:b/>
        </w:rPr>
        <w:t xml:space="preserve">Screenshot this once at the start of every testing session</w:t>
      </w:r>
      <w:r>
        <w:t xml:space="preserve"> </w:t>
      </w:r>
      <w:r>
        <w:t xml:space="preserve">and put it in your workpaper. It takes ten seconds, and it’s the difference between evidence and an anonymous picture of a table.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book-1-the-access-list"/>
    <w:p>
      <w:pPr>
        <w:pStyle w:val="Heading1"/>
      </w:pPr>
      <w:r>
        <w:t xml:space="preserve">BOOK 1 — THE ACCESS LIST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can one person create a vendor and pay it?</w:t>
      </w:r>
    </w:p>
    <w:bookmarkStart w:id="30" w:name="the-screens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Risk Analysis</w:t>
            </w:r>
            <w:r>
              <w:t xml:space="preserve"> </w:t>
            </w:r>
            <w:r>
              <w:t xml:space="preserve">(GRC Access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ruleset against users, roles or profiles and returns conflicts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PFCG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Role maintenance — open in</w:t>
            </w:r>
            <w:r>
              <w:t xml:space="preserve"> </w:t>
            </w:r>
            <w:r>
              <w:rPr>
                <w:bCs/>
                <w:b/>
              </w:rPr>
              <w:t xml:space="preserve">display</w:t>
            </w:r>
            <w:r>
              <w:t xml:space="preserve"> </w:t>
            </w:r>
            <w:r>
              <w:t xml:space="preserve">to see what’s inside a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information system — search across users and roles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SU01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User maintenance — display a user and see their assigned roles</w:t>
            </w:r>
          </w:p>
        </w:tc>
      </w:tr>
    </w:tbl>
    <w:bookmarkEnd w:id="30"/>
    <w:bookmarkStart w:id="31" w:name="X20892dffc3614e1fbdcc78f7275d399552d1da2"/>
    <w:p>
      <w:pPr>
        <w:pStyle w:val="Heading2"/>
      </w:pPr>
      <w:r>
        <w:t xml:space="preserve">Three choices on the selection screen that decide your answer</w:t>
      </w:r>
    </w:p>
    <w:p>
      <w:pPr>
        <w:pStyle w:val="FirstParagraph"/>
      </w:pPr>
      <w:r>
        <w:t xml:space="preserve">Read these carefully.</w:t>
      </w:r>
      <w:r>
        <w:t xml:space="preserve"> </w:t>
      </w:r>
      <w:r>
        <w:rPr>
          <w:bCs/>
          <w:b/>
        </w:rPr>
        <w:t xml:space="preserve">The defaults on this screen will silently answer the question for you if you let them.</w:t>
      </w:r>
    </w:p>
    <w:p>
      <w:pPr>
        <w:pStyle w:val="BodyText"/>
      </w:pPr>
      <w:r>
        <w:rPr>
          <w:bCs/>
          <w:b/>
        </w:rPr>
        <w:t xml:space="preserve">Choice one — the analysis level.</w:t>
      </w:r>
      <w:r>
        <w:t xml:space="preserve"> </w:t>
      </w:r>
      <w:r>
        <w:t xml:space="preserve">User, role, profile, or HR object.</w:t>
      </w:r>
    </w:p>
    <w:p>
      <w:pPr>
        <w:pStyle w:val="BodyText"/>
      </w:pPr>
      <w:r>
        <w:rPr>
          <w:iCs/>
          <w:i/>
        </w:rPr>
        <w:t xml:space="preserve">Role level</w:t>
      </w:r>
      <w:r>
        <w:t xml:space="preserve"> </w:t>
      </w:r>
      <w:r>
        <w:t xml:space="preserve">tells you which roles are internally conflicted.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tell you who holds them. A conflicted role assigned to nobody is housekeeping. A clean role combined with another clean role, on one person, is a live conflict that role-level analysis will never show you.</w:t>
      </w:r>
    </w:p>
    <w:p>
      <w:pPr>
        <w:pStyle w:val="BodyText"/>
      </w:pPr>
      <w:r>
        <w:t xml:space="preserve">Book 1 is about a person who could create a vendor and pay it.</w:t>
      </w:r>
      <w:r>
        <w:t xml:space="preserve"> </w:t>
      </w:r>
      <w:r>
        <w:rPr>
          <w:bCs/>
          <w:b/>
        </w:rPr>
        <w:t xml:space="preserve">That’s a user-level question.</w:t>
      </w:r>
    </w:p>
    <w:p>
      <w:pPr>
        <w:pStyle w:val="BodyText"/>
      </w:pPr>
      <w:r>
        <w:rPr>
          <w:bCs/>
          <w:b/>
        </w:rPr>
        <w:t xml:space="preserve">Choice two — the ruleset.</w:t>
      </w:r>
      <w:r>
        <w:t xml:space="preserve"> </w:t>
      </w:r>
      <w:r>
        <w:t xml:space="preserve">Standard SAP, or the client’s customised set.</w:t>
      </w:r>
    </w:p>
    <w:p>
      <w:pPr>
        <w:pStyle w:val="BodyText"/>
      </w:pPr>
      <w:r>
        <w:t xml:space="preserve">Never assume. If a client has tuned their ruleset — and most have — then the conflicts you find are the conflicts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decided to look for. Part of the test is asking who last changed it, and when.</w:t>
      </w:r>
    </w:p>
    <w:p>
      <w:pPr>
        <w:pStyle w:val="BodyText"/>
      </w:pPr>
      <w:r>
        <w:rPr>
          <w:bCs/>
          <w:b/>
        </w:rPr>
        <w:t xml:space="preserve">Choice three — mitigated risks, included or excluded.</w:t>
      </w:r>
    </w:p>
    <w:p>
      <w:pPr>
        <w:pStyle w:val="BodyText"/>
      </w:pPr>
      <w:r>
        <w:t xml:space="preserve">This is Roberto’s argument from the story, sitting on the screen as a checkbox. Excluding mitigated risks gives you three. Including them gives you forty-one.</w:t>
      </w:r>
    </w:p>
    <w:p>
      <w:pPr>
        <w:pStyle w:val="BodyText"/>
      </w:pPr>
      <w:r>
        <w:t xml:space="preserve">Same system, same instant, two numbers, one checkbox between them.</w:t>
      </w:r>
    </w:p>
    <w:bookmarkEnd w:id="31"/>
    <w:bookmarkStart w:id="32" w:name="confirming-a-conflict-independently"/>
    <w:p>
      <w:pPr>
        <w:pStyle w:val="Heading2"/>
      </w:pPr>
      <w:r>
        <w:t xml:space="preserve">Confirming a conflict independently</w:t>
      </w:r>
    </w:p>
    <w:p>
      <w:pPr>
        <w:pStyle w:val="FirstParagraph"/>
      </w:pPr>
      <w:r>
        <w:t xml:space="preserve">The report says a user has a conflict. Don’t take the report’s word for it.</w:t>
      </w:r>
    </w:p>
    <w:p>
      <w:pPr>
        <w:pStyle w:val="BodyText"/>
      </w:pPr>
      <w:r>
        <w:rPr>
          <w:rStyle w:val="VerbatimChar"/>
          <w:bCs/>
          <w:b/>
        </w:rPr>
        <w:t xml:space="preserve">SUIM</w:t>
      </w:r>
      <w:r>
        <w:t xml:space="preserve"> </w:t>
      </w:r>
      <w:r>
        <w:t xml:space="preserve">tells you which roles the user holds.</w:t>
      </w:r>
    </w:p>
    <w:p>
      <w:pPr>
        <w:pStyle w:val="BodyText"/>
      </w:pPr>
      <w:r>
        <w:rPr>
          <w:rStyle w:val="VerbatimChar"/>
          <w:bCs/>
          <w:b/>
        </w:rPr>
        <w:t xml:space="preserve">PFCG</w:t>
      </w:r>
      <w:r>
        <w:rPr>
          <w:bCs/>
          <w:b/>
        </w:rPr>
        <w:t xml:space="preserve"> </w:t>
      </w:r>
      <w:r>
        <w:rPr>
          <w:bCs/>
          <w:b/>
        </w:rPr>
        <w:t xml:space="preserve">in display</w:t>
      </w:r>
      <w:r>
        <w:t xml:space="preserve"> </w:t>
      </w:r>
      <w:r>
        <w:t xml:space="preserve">— and type the display path, not the change path — shows you what’s inside a role. Go to the Authorizations tab and drill down to the object.</w:t>
      </w:r>
    </w:p>
    <w:p>
      <w:pPr>
        <w:pStyle w:val="BodyText"/>
      </w:pPr>
      <w:r>
        <w:rPr>
          <w:bCs/>
          <w:b/>
        </w:rPr>
        <w:t xml:space="preserve">Two possibilities, and they change how you write it up: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role contains both halves</w:t>
      </w:r>
      <w:r>
        <w:t xml:space="preserve"> </w:t>
      </w:r>
      <w:r>
        <w:t xml:space="preserve">of the conflict → a role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problem.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separate roles each contain one half</w:t>
      </w:r>
      <w:r>
        <w:t xml:space="preserve"> </w:t>
      </w:r>
      <w:r>
        <w:t xml:space="preserve">→ a role</w:t>
      </w:r>
      <w:r>
        <w:t xml:space="preserve"> </w:t>
      </w:r>
      <w:r>
        <w:rPr>
          <w:bCs/>
          <w:b/>
        </w:rPr>
        <w:t xml:space="preserve">assignment</w:t>
      </w:r>
      <w:r>
        <w:t xml:space="preserve"> </w:t>
      </w:r>
      <w:r>
        <w:t xml:space="preserve">problem.</w:t>
      </w:r>
    </w:p>
    <w:p>
      <w:pPr>
        <w:pStyle w:val="FirstParagraph"/>
      </w:pPr>
      <w:r>
        <w:t xml:space="preserve">Different root cause. Different remediation. Different owner.</w:t>
      </w:r>
      <w:r>
        <w:t xml:space="preserve"> </w:t>
      </w:r>
      <w:r>
        <w:rPr>
          <w:bCs/>
          <w:b/>
        </w:rPr>
        <w:t xml:space="preserve">Your finding is thin if you can’t say which.</w:t>
      </w:r>
    </w:p>
    <w:bookmarkEnd w:id="32"/>
    <w:bookmarkStart w:id="33" w:name="what-youll-produce-on-monday"/>
    <w:p>
      <w:pPr>
        <w:pStyle w:val="Heading2"/>
      </w:pPr>
      <w:r>
        <w:t xml:space="preserve">What you’ll produce on Monday</w:t>
      </w:r>
    </w:p>
    <w:p>
      <w:pPr>
        <w:numPr>
          <w:ilvl w:val="0"/>
          <w:numId w:val="1003"/>
        </w:numPr>
        <w:pStyle w:val="Compact"/>
      </w:pPr>
      <w:r>
        <w:t xml:space="preserve">Both conflict numbers — excluding and including mitigated risks</w:t>
      </w:r>
    </w:p>
    <w:p>
      <w:pPr>
        <w:numPr>
          <w:ilvl w:val="0"/>
          <w:numId w:val="1003"/>
        </w:numPr>
        <w:pStyle w:val="Compact"/>
      </w:pPr>
      <w:r>
        <w:t xml:space="preserve">One line saying whether the conflict comes from one role or two</w:t>
      </w:r>
    </w:p>
    <w:p>
      <w:pPr>
        <w:numPr>
          <w:ilvl w:val="0"/>
          <w:numId w:val="1003"/>
        </w:numPr>
        <w:pStyle w:val="Compact"/>
      </w:pPr>
      <w:r>
        <w:t xml:space="preserve">Screenshots: selection criteria</w:t>
      </w:r>
      <w:r>
        <w:t xml:space="preserve"> </w:t>
      </w:r>
      <w:r>
        <w:rPr>
          <w:bCs/>
          <w:b/>
        </w:rPr>
        <w:t xml:space="preserve">first</w:t>
      </w:r>
      <w:r>
        <w:t xml:space="preserve">, result</w:t>
      </w:r>
      <w:r>
        <w:t xml:space="preserve"> </w:t>
      </w:r>
      <w:r>
        <w:rPr>
          <w:bCs/>
          <w:b/>
        </w:rPr>
        <w:t xml:space="preserve">second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book-16-the-firefighter-log"/>
    <w:p>
      <w:pPr>
        <w:pStyle w:val="Heading1"/>
      </w:pPr>
      <w:r>
        <w:t xml:space="preserve">BOOK 16 — THE FIREFIGHTER LOG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was every emergency access session reviewed?</w:t>
      </w:r>
    </w:p>
    <w:bookmarkStart w:id="35" w:name="the-screens-1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Firefighter Log Report</w:t>
            </w:r>
            <w:r>
              <w:t xml:space="preserve"> </w:t>
            </w:r>
            <w:r>
              <w:t xml:space="preserve">(GRC Emergency Access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session population — who used which firefighter ID, when, and why they said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Firefighter review / log review report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sessions that were</w:t>
            </w:r>
            <w:r>
              <w:t xml:space="preserve"> </w:t>
            </w:r>
            <w:r>
              <w:rPr>
                <w:bCs/>
                <w:b/>
              </w:rPr>
              <w:t xml:space="preserve">reviewed</w:t>
            </w:r>
            <w:r>
              <w:t xml:space="preserve">. Not your population.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the firefighter ID — and check its</w:t>
            </w:r>
            <w:r>
              <w:t xml:space="preserve"> </w:t>
            </w:r>
            <w:r>
              <w:rPr>
                <w:bCs/>
                <w:b/>
              </w:rPr>
              <w:t xml:space="preserve">user type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SM20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Security audit log — independent corroboration of what a session actually did</w:t>
            </w:r>
          </w:p>
        </w:tc>
      </w:tr>
    </w:tbl>
    <w:bookmarkEnd w:id="35"/>
    <w:bookmarkStart w:id="36" w:name="X9c1dd8f984a93e91d9555b25460cb8a6a9a39b3"/>
    <w:p>
      <w:pPr>
        <w:pStyle w:val="Heading2"/>
      </w:pPr>
      <w:r>
        <w:t xml:space="preserve">Three things to notice on the log report, in order</w:t>
      </w:r>
    </w:p>
    <w:p>
      <w:pPr>
        <w:pStyle w:val="FirstParagraph"/>
      </w:pPr>
      <w:r>
        <w:rPr>
          <w:bCs/>
          <w:b/>
        </w:rPr>
        <w:t xml:space="preserve">One — the reason codes.</w:t>
      </w:r>
    </w:p>
    <w:p>
      <w:pPr>
        <w:pStyle w:val="BodyText"/>
      </w:pPr>
      <w:r>
        <w:t xml:space="preserve">Read a few of them.</w:t>
      </w:r>
      <w:r>
        <w:t xml:space="preserve"> </w:t>
      </w:r>
      <w:r>
        <w:t xml:space="preserve">“</w:t>
      </w:r>
      <w:r>
        <w:t xml:space="preserve">Fix.</w:t>
      </w:r>
      <w:r>
        <w:t xml:space="preserve">”</w:t>
      </w:r>
      <w:r>
        <w:t xml:space="preserve"> </w:t>
      </w:r>
      <w:r>
        <w:t xml:space="preserve">“</w:t>
      </w:r>
      <w:r>
        <w:t xml:space="preserve">Urgent.</w:t>
      </w:r>
      <w:r>
        <w:t xml:space="preserve">”</w:t>
      </w:r>
      <w:r>
        <w:t xml:space="preserve"> </w:t>
      </w:r>
      <w:r>
        <w:t xml:space="preserve">“</w:t>
      </w:r>
      <w:r>
        <w:t xml:space="preserve">As discussed.</w:t>
      </w:r>
      <w:r>
        <w:t xml:space="preserve">”</w:t>
      </w:r>
    </w:p>
    <w:p>
      <w:pPr>
        <w:pStyle w:val="BodyText"/>
      </w:pPr>
      <w:r>
        <w:t xml:space="preserve">That’s free text, typed at speed by someone under pressure at 2am. It is</w:t>
      </w:r>
      <w:r>
        <w:t xml:space="preserve"> </w:t>
      </w:r>
      <w:r>
        <w:rPr>
          <w:iCs/>
          <w:i/>
        </w:rPr>
        <w:t xml:space="preserve">evidence that a reason was given</w:t>
      </w:r>
      <w:r>
        <w:t xml:space="preserve">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evidence that the reason was valid.</w:t>
      </w:r>
    </w:p>
    <w:p>
      <w:pPr>
        <w:pStyle w:val="BodyText"/>
      </w:pPr>
      <w:r>
        <w:t xml:space="preserve">So don’t call it a business justification in your workpaper. What it actually is, is a text field.</w:t>
      </w:r>
    </w:p>
    <w:p>
      <w:pPr>
        <w:pStyle w:val="BodyText"/>
      </w:pPr>
      <w:r>
        <w:rPr>
          <w:bCs/>
          <w:b/>
        </w:rPr>
        <w:t xml:space="preserve">Two — the population trap.</w:t>
      </w:r>
    </w:p>
    <w:p>
      <w:pPr>
        <w:pStyle w:val="BodyText"/>
      </w:pPr>
      <w:r>
        <w:t xml:space="preserve">There’s a review report on this system as well as a log report.</w:t>
      </w:r>
    </w:p>
    <w:p>
      <w:pPr>
        <w:pStyle w:val="BodyText"/>
      </w:pPr>
      <w:r>
        <w:t xml:space="preserve">The review report lists sessions</w:t>
      </w:r>
      <w:r>
        <w:t xml:space="preserve"> </w:t>
      </w:r>
      <w:r>
        <w:rPr>
          <w:bCs/>
          <w:b/>
        </w:rPr>
        <w:t xml:space="preserve">that were reviewed</w:t>
      </w:r>
      <w:r>
        <w:t xml:space="preserve">. Build your population from it and your review completion rate is a hundred percent, every time, by construction.</w:t>
      </w:r>
    </w:p>
    <w:p>
      <w:pPr>
        <w:pStyle w:val="BodyText"/>
      </w:pPr>
      <w:r>
        <w:rPr>
          <w:bCs/>
          <w:b/>
        </w:rPr>
        <w:t xml:space="preserve">Your population is the session log.</w:t>
      </w:r>
      <w:r>
        <w:t xml:space="preserve"> </w:t>
      </w:r>
      <w:r>
        <w:t xml:space="preserve">Reviews are what you reconcile against it — the smaller number, on the other side of the gap.</w:t>
      </w:r>
    </w:p>
    <w:p>
      <w:pPr>
        <w:pStyle w:val="BodyText"/>
      </w:pPr>
      <w:r>
        <w:rPr>
          <w:bCs/>
          <w:b/>
        </w:rPr>
        <w:t xml:space="preserve">Three — user type.</w:t>
      </w:r>
    </w:p>
    <w:p>
      <w:pPr>
        <w:pStyle w:val="BodyText"/>
      </w:pPr>
      <w:r>
        <w:t xml:space="preserve">If someone tells you a firefighter ID is an automated interface rather than a person, you can check that in about fifteen seconds.</w:t>
      </w:r>
    </w:p>
    <w:p>
      <w:pPr>
        <w:pStyle w:val="BodyText"/>
      </w:pPr>
      <w:r>
        <w:rPr>
          <w:rStyle w:val="VerbatimChar"/>
        </w:rPr>
        <w:t xml:space="preserve">SU01</w:t>
      </w:r>
      <w:r>
        <w:t xml:space="preserve"> </w:t>
      </w:r>
      <w:r>
        <w:t xml:space="preserve">→ the user → Logon Data tab →</w:t>
      </w:r>
      <w:r>
        <w:t xml:space="preserve"> </w:t>
      </w:r>
      <w:r>
        <w:rPr>
          <w:bCs/>
          <w:b/>
        </w:rPr>
        <w:t xml:space="preserve">user type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Dialog</w:t>
      </w:r>
      <w:r>
        <w:t xml:space="preserve"> </w:t>
      </w:r>
      <w:r>
        <w:t xml:space="preserve">means a human logs on interactively.</w:t>
      </w:r>
      <w:r>
        <w:t xml:space="preserve"> </w:t>
      </w:r>
      <w:r>
        <w:rPr>
          <w:bCs/>
          <w:b/>
        </w:rPr>
        <w:t xml:space="preserve">System</w:t>
      </w:r>
      <w:r>
        <w:t xml:space="preserve">,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Communication</w:t>
      </w:r>
      <w:r>
        <w:t xml:space="preserve"> </w:t>
      </w:r>
      <w:r>
        <w:t xml:space="preserve">mean a technical account.</w:t>
      </w:r>
    </w:p>
    <w:p>
      <w:pPr>
        <w:pStyle w:val="BodyText"/>
      </w:pPr>
      <w:r>
        <w:t xml:space="preserve">That single field either corroborates or contradicts what you were told. It turns</w:t>
      </w:r>
      <w:r>
        <w:t xml:space="preserve"> </w:t>
      </w:r>
      <w:r>
        <w:t xml:space="preserve">“</w:t>
      </w:r>
      <w:r>
        <w:t xml:space="preserve">management explained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management explained and I confirmed.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That’s the move of this entire course.</w:t>
      </w:r>
      <w:r>
        <w:t xml:space="preserve"> </w:t>
      </w:r>
      <w:r>
        <w:t xml:space="preserve">Someone tells you something plausible, and you go and find the field that checks it.</w:t>
      </w:r>
    </w:p>
    <w:bookmarkEnd w:id="36"/>
    <w:bookmarkStart w:id="37" w:name="what-youll-produce-on-monday-1"/>
    <w:p>
      <w:pPr>
        <w:pStyle w:val="Heading2"/>
      </w:pPr>
      <w:r>
        <w:t xml:space="preserve">What you’ll produce on Monday</w:t>
      </w:r>
    </w:p>
    <w:p>
      <w:pPr>
        <w:numPr>
          <w:ilvl w:val="0"/>
          <w:numId w:val="1004"/>
        </w:numPr>
        <w:pStyle w:val="Compact"/>
      </w:pPr>
      <w:r>
        <w:t xml:space="preserve">The session count for the period</w:t>
      </w:r>
    </w:p>
    <w:p>
      <w:pPr>
        <w:numPr>
          <w:ilvl w:val="0"/>
          <w:numId w:val="1004"/>
        </w:numPr>
        <w:pStyle w:val="Compact"/>
      </w:pPr>
      <w:r>
        <w:t xml:space="preserve">A one-sentence population definition, in your own words</w:t>
      </w:r>
    </w:p>
    <w:p>
      <w:pPr>
        <w:numPr>
          <w:ilvl w:val="0"/>
          <w:numId w:val="1004"/>
        </w:numPr>
        <w:pStyle w:val="Compact"/>
      </w:pPr>
      <w:r>
        <w:t xml:space="preserve">Whether one named firefighter ID is Dialog or technical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book-17-the-leaver"/>
    <w:p>
      <w:pPr>
        <w:pStyle w:val="Heading1"/>
      </w:pPr>
      <w:r>
        <w:t xml:space="preserve">BOOK 17 — THE LEAVER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is the account still live, and was it used after they left?</w:t>
      </w:r>
    </w:p>
    <w:p>
      <w:pPr>
        <w:pStyle w:val="BodyText"/>
      </w:pPr>
      <w:r>
        <w:rPr>
          <w:bCs/>
          <w:b/>
        </w:rPr>
        <w:t xml:space="preserve">This is your first workpaper. Read this section twice.</w:t>
      </w:r>
    </w:p>
    <w:bookmarkStart w:id="39" w:name="the-screens-2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at a time — validity, lock status, last logon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SUIM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population view — users by logon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post-termination session actually did, if you need to prove it</w:t>
            </w:r>
          </w:p>
        </w:tc>
      </w:tr>
    </w:tbl>
    <w:bookmarkEnd w:id="39"/>
    <w:bookmarkStart w:id="40" w:name="start-with-one-person"/>
    <w:p>
      <w:pPr>
        <w:pStyle w:val="Heading2"/>
      </w:pPr>
      <w:r>
        <w:t xml:space="preserve">Start with one person</w:t>
      </w:r>
    </w:p>
    <w:p>
      <w:pPr>
        <w:pStyle w:val="FirstParagraph"/>
      </w:pPr>
      <w:r>
        <w:rPr>
          <w:rStyle w:val="VerbatimChar"/>
        </w:rPr>
        <w:t xml:space="preserve">SU01</w:t>
      </w:r>
      <w:r>
        <w:t xml:space="preserve">,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mode. Logon Data tab.</w:t>
      </w:r>
    </w:p>
    <w:p>
      <w:pPr>
        <w:pStyle w:val="BodyText"/>
      </w:pPr>
      <w:r>
        <w:t xml:space="preserve">Three fields on that screen, and juniors treat them as one thing.</w:t>
      </w:r>
    </w:p>
    <w:tbl>
      <w:tblPr>
        <w:tblStyle w:val="Table"/>
        <w:tblW w:type="auto" w:w="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the account is set to expire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Locked / unlocked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status right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logon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it was actually 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These are three different facts.</w:t>
      </w:r>
    </w:p>
    <w:p>
      <w:pPr>
        <w:pStyle w:val="BodyText"/>
      </w:pPr>
      <w:r>
        <w:t xml:space="preserve">An account can be unlocked, with no expiry date, and never used since 2019. That’s an access finding with no activity behind it.</w:t>
      </w:r>
    </w:p>
    <w:p>
      <w:pPr>
        <w:pStyle w:val="BodyText"/>
      </w:pPr>
      <w:r>
        <w:t xml:space="preserve">An account can be locked</w:t>
      </w:r>
      <w:r>
        <w:t xml:space="preserve"> </w:t>
      </w:r>
      <w:r>
        <w:rPr>
          <w:iCs/>
          <w:i/>
        </w:rPr>
        <w:t xml:space="preserve">today</w:t>
      </w:r>
      <w:r>
        <w:t xml:space="preserve"> </w:t>
      </w:r>
      <w:r>
        <w:t xml:space="preserve">— and have logged on three weeks after the person was terminated. That’s far worse. And if you only asked</w:t>
      </w:r>
      <w:r>
        <w:t xml:space="preserve"> </w:t>
      </w:r>
      <w:r>
        <w:t xml:space="preserve">“</w:t>
      </w:r>
      <w:r>
        <w:t xml:space="preserve">is it locked now,</w:t>
      </w:r>
      <w:r>
        <w:t xml:space="preserve">”</w:t>
      </w:r>
      <w:r>
        <w:t xml:space="preserve"> </w:t>
      </w:r>
      <w:r>
        <w:t xml:space="preserve">you called it clean.</w:t>
      </w:r>
    </w:p>
    <w:bookmarkEnd w:id="40"/>
    <w:bookmarkStart w:id="41" w:name="then-the-population"/>
    <w:p>
      <w:pPr>
        <w:pStyle w:val="Heading2"/>
      </w:pPr>
      <w:r>
        <w:t xml:space="preserve">Then the population</w:t>
      </w:r>
    </w:p>
    <w:p>
      <w:pPr>
        <w:pStyle w:val="FirstParagraph"/>
      </w:pPr>
      <w:r>
        <w:t xml:space="preserve">One user at a time doesn’t scale to a termination list.</w:t>
      </w:r>
    </w:p>
    <w:p>
      <w:pPr>
        <w:pStyle w:val="BodyText"/>
      </w:pPr>
      <w:r>
        <w:rPr>
          <w:rStyle w:val="VerbatimChar"/>
        </w:rPr>
        <w:t xml:space="preserve">SUIM</w:t>
      </w:r>
      <w:r>
        <w:t xml:space="preserve"> </w:t>
      </w:r>
      <w:r>
        <w:t xml:space="preserve">→ the report for</w:t>
      </w:r>
      <w:r>
        <w:t xml:space="preserve"> </w:t>
      </w:r>
      <w:r>
        <w:rPr>
          <w:bCs/>
          <w:b/>
        </w:rPr>
        <w:t xml:space="preserve">users by logon date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mistakes to avoid, and both of them run perfectly:</w:t>
      </w:r>
    </w:p>
    <w:p>
      <w:pPr>
        <w:pStyle w:val="BodyText"/>
      </w:pPr>
      <w:r>
        <w:rPr>
          <w:bCs/>
          <w:b/>
        </w:rPr>
        <w:t xml:space="preserve">Mistake one — the wrong field.</w:t>
      </w:r>
      <w:r>
        <w:t xml:space="preserve"> </w:t>
      </w:r>
      <w:r>
        <w:t xml:space="preserve">Filtering on account</w:t>
      </w:r>
      <w:r>
        <w:t xml:space="preserve"> </w:t>
      </w:r>
      <w:r>
        <w:rPr>
          <w:iCs/>
          <w:i/>
        </w:rPr>
        <w:t xml:space="preserve">validity</w:t>
      </w:r>
      <w:r>
        <w:t xml:space="preserve"> </w:t>
      </w:r>
      <w:r>
        <w:t xml:space="preserve">when the question is about account</w:t>
      </w:r>
      <w:r>
        <w:t xml:space="preserve"> </w:t>
      </w:r>
      <w:r>
        <w:rPr>
          <w:iCs/>
          <w:i/>
        </w:rPr>
        <w:t xml:space="preserve">activity</w:t>
      </w:r>
      <w:r>
        <w:t xml:space="preserve">. Different fields, answering different questions. The report runs. The output looks like evidence. It answers a question nobody asked.</w:t>
      </w:r>
    </w:p>
    <w:p>
      <w:pPr>
        <w:pStyle w:val="BodyText"/>
      </w:pPr>
      <w:r>
        <w:t xml:space="preserve">That’s the same error you met four times in Week 1, wearing new clothes. Reviews instead of sessions. IT instead of HR. Tickets instead of transports.</w:t>
      </w:r>
      <w:r>
        <w:t xml:space="preserve"> </w:t>
      </w:r>
      <w:r>
        <w:rPr>
          <w:bCs/>
          <w:b/>
        </w:rPr>
        <w:t xml:space="preserve">And now validity instead of logon.</w:t>
      </w:r>
    </w:p>
    <w:p>
      <w:pPr>
        <w:pStyle w:val="BodyText"/>
      </w:pPr>
      <w:r>
        <w:rPr>
          <w:bCs/>
          <w:b/>
        </w:rPr>
        <w:t xml:space="preserve">Mistake two — no boundary.</w:t>
      </w:r>
      <w:r>
        <w:t xml:space="preserve"> </w:t>
      </w:r>
      <w:r>
        <w:t xml:space="preserve">Right field, no date restriction. Every user in the system, ever. No period, no scope, no defensible edge. That isn’t a population, it’s an extract.</w:t>
      </w:r>
    </w:p>
    <w:bookmarkEnd w:id="41"/>
    <w:bookmarkStart w:id="42" w:name="one-control-thats-almost-invisible"/>
    <w:p>
      <w:pPr>
        <w:pStyle w:val="Heading2"/>
      </w:pPr>
      <w:r>
        <w:t xml:space="preserve">One control that’s almost invisible</w:t>
      </w:r>
    </w:p>
    <w:p>
      <w:pPr>
        <w:pStyle w:val="FirstParagraph"/>
      </w:pPr>
      <w:r>
        <w:t xml:space="preserve">At the end of a selection field there’s a small arrow. That’s</w:t>
      </w:r>
      <w:r>
        <w:t xml:space="preserve"> </w:t>
      </w:r>
      <w:r>
        <w:rPr>
          <w:bCs/>
          <w:b/>
        </w:rPr>
        <w:t xml:space="preserve">multiple selection</w:t>
      </w:r>
      <w:r>
        <w:t xml:space="preserve">.</w:t>
      </w:r>
    </w:p>
    <w:p>
      <w:pPr>
        <w:pStyle w:val="BodyText"/>
      </w:pPr>
      <w:r>
        <w:t xml:space="preserve">Ranges, exclusions — and</w:t>
      </w:r>
      <w:r>
        <w:t xml:space="preserve"> </w:t>
      </w:r>
      <w:r>
        <w:rPr>
          <w:bCs/>
          <w:b/>
        </w:rPr>
        <w:t xml:space="preserve">you can paste a list of user IDs straight in</w:t>
      </w:r>
      <w:r>
        <w:t xml:space="preserve">. That’s how you handle a termination list of forty names without typing forty names.</w:t>
      </w:r>
    </w:p>
    <w:p>
      <w:pPr>
        <w:pStyle w:val="BodyText"/>
      </w:pPr>
      <w:r>
        <w:t xml:space="preserve">It’s the most useful control on the screen, and almost nobody finds it on their own.</w:t>
      </w:r>
    </w:p>
    <w:bookmarkEnd w:id="42"/>
    <w:bookmarkStart w:id="43" w:name="read-the-header-before-the-rows"/>
    <w:p>
      <w:pPr>
        <w:pStyle w:val="Heading2"/>
      </w:pPr>
      <w:r>
        <w:t xml:space="preserve">Read the header before the rows</w:t>
      </w:r>
    </w:p>
    <w:p>
      <w:pPr>
        <w:pStyle w:val="FirstParagraph"/>
      </w:pPr>
      <w:r>
        <w:t xml:space="preserve">When the report runs, read the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first. How many records. What selection produced them. What the columns mean.</w:t>
      </w:r>
    </w:p>
    <w:p>
      <w:pPr>
        <w:pStyle w:val="BodyText"/>
      </w:pPr>
      <w:r>
        <w:rPr>
          <w:bCs/>
          <w:b/>
        </w:rPr>
        <w:t xml:space="preserve">The rows lie to you if you don’t know what produced them.</w:t>
      </w:r>
    </w:p>
    <w:bookmarkEnd w:id="43"/>
    <w:bookmarkStart w:id="44" w:name="capturing-evidence"/>
    <w:p>
      <w:pPr>
        <w:pStyle w:val="Heading2"/>
      </w:pPr>
      <w:r>
        <w:t xml:space="preserve">Capturing evidence</w:t>
      </w:r>
    </w:p>
    <w:p>
      <w:pPr>
        <w:pStyle w:val="FirstParagraph"/>
      </w:pPr>
      <w:r>
        <w:t xml:space="preserve">This is the switch. You’ve stopped testing. You’re collecting.</w:t>
      </w:r>
    </w:p>
    <w:p>
      <w:pPr>
        <w:pStyle w:val="BodyText"/>
      </w:pPr>
      <w:r>
        <w:rPr>
          <w:bCs/>
          <w:b/>
        </w:rPr>
        <w:t xml:space="preserve">Export the population.</w:t>
      </w:r>
      <w:r>
        <w:t xml:space="preserve"> </w:t>
      </w:r>
      <w:r>
        <w:t xml:space="preserve">The spreadsheet icon → local file → spreadsheet. That’s how the population leaves SAP and lands in your workpaper.</w:t>
      </w:r>
    </w:p>
    <w:p>
      <w:pPr>
        <w:pStyle w:val="BodyText"/>
      </w:pPr>
      <w:r>
        <w:t xml:space="preserve">And notice what the exported file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contain: the selection criteria. It’s just rows.</w:t>
      </w:r>
    </w:p>
    <w:p>
      <w:pPr>
        <w:pStyle w:val="BodyText"/>
      </w:pPr>
      <w:r>
        <w:rPr>
          <w:bCs/>
          <w:b/>
        </w:rPr>
        <w:t xml:space="preserve">Which is why you screenshot the selection screen, not just the result.</w:t>
      </w:r>
    </w:p>
    <w:p>
      <w:pPr>
        <w:pStyle w:val="BodyText"/>
      </w:pPr>
      <w:r>
        <w:t xml:space="preserve">Your evidence is</w:t>
      </w:r>
      <w:r>
        <w:t xml:space="preserve"> </w:t>
      </w:r>
      <w:r>
        <w:rPr>
          <w:bCs/>
          <w:b/>
        </w:rPr>
        <w:t xml:space="preserve">two images, not one</w:t>
      </w:r>
      <w:r>
        <w:t xml:space="preserve">. Three things must be visible between them:</w:t>
      </w:r>
    </w:p>
    <w:p>
      <w:pPr>
        <w:numPr>
          <w:ilvl w:val="0"/>
          <w:numId w:val="1005"/>
        </w:numPr>
        <w:pStyle w:val="Compact"/>
      </w:pPr>
      <w:r>
        <w:t xml:space="preserve">The system and client</w:t>
      </w:r>
    </w:p>
    <w:p>
      <w:pPr>
        <w:numPr>
          <w:ilvl w:val="0"/>
          <w:numId w:val="1005"/>
        </w:numPr>
        <w:pStyle w:val="Compact"/>
      </w:pPr>
      <w:r>
        <w:t xml:space="preserve">The selection criteria</w:t>
      </w:r>
    </w:p>
    <w:p>
      <w:pPr>
        <w:numPr>
          <w:ilvl w:val="0"/>
          <w:numId w:val="1005"/>
        </w:numPr>
        <w:pStyle w:val="Compact"/>
      </w:pPr>
      <w:r>
        <w:t xml:space="preserve">The date you ran it</w:t>
      </w:r>
    </w:p>
    <w:p>
      <w:pPr>
        <w:pStyle w:val="FirstParagraph"/>
      </w:pPr>
      <w:r>
        <w:t xml:space="preserve">If a reviewer can’t reproduce your extract from your screenshots, you haven’t documented a test. You’ve taken a photograph.</w:t>
      </w:r>
    </w:p>
    <w:bookmarkEnd w:id="44"/>
    <w:bookmarkStart w:id="45" w:name="what-youll-produce-on-monday-2"/>
    <w:p>
      <w:pPr>
        <w:pStyle w:val="Heading2"/>
      </w:pPr>
      <w:r>
        <w:t xml:space="preserve">What you’ll produce on Monday</w:t>
      </w:r>
    </w:p>
    <w:p>
      <w:pPr>
        <w:pStyle w:val="FirstParagraph"/>
      </w:pPr>
      <w:r>
        <w:t xml:space="preserve">Your exception list, split into</w:t>
      </w:r>
      <w:r>
        <w:t xml:space="preserve"> </w:t>
      </w:r>
      <w:r>
        <w:rPr>
          <w:bCs/>
          <w:b/>
        </w:rPr>
        <w:t xml:space="preserve">two columns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Still active</w:t>
      </w:r>
    </w:p>
    <w:p>
      <w:pPr>
        <w:numPr>
          <w:ilvl w:val="0"/>
          <w:numId w:val="1006"/>
        </w:numPr>
        <w:pStyle w:val="Compact"/>
      </w:pPr>
      <w:r>
        <w:t xml:space="preserve">Active</w:t>
      </w:r>
      <w:r>
        <w:t xml:space="preserve"> </w:t>
      </w:r>
      <w:r>
        <w:rPr>
          <w:bCs/>
          <w:b/>
        </w:rPr>
        <w:t xml:space="preserve">with post-termination logon</w:t>
      </w:r>
    </w:p>
    <w:p>
      <w:pPr>
        <w:pStyle w:val="FirstParagraph"/>
      </w:pPr>
      <w:r>
        <w:t xml:space="preserve">Two columns, not one. They’re two different severities and they must never be merged into one number.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he-shape-youre-copying"/>
    <w:p>
      <w:pPr>
        <w:pStyle w:val="Heading1"/>
      </w:pPr>
      <w:r>
        <w:t xml:space="preserve">The shape you’re copying</w:t>
      </w:r>
    </w:p>
    <w:p>
      <w:pPr>
        <w:pStyle w:val="FirstParagraph"/>
      </w:pPr>
      <w:r>
        <w:t xml:space="preserve">Every test in the remaining nineteen Books is a variation on the same seven steps.</w:t>
      </w:r>
    </w:p>
    <w:tbl>
      <w:tblPr>
        <w:tblStyle w:val="Table"/>
        <w:tblW w:type="auto" w:w="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  <w:bCs/>
                <w:b/>
              </w:rPr>
              <w:t xml:space="preserve">1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Confirm where you are — system and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transaction, in display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Understand the selection screen before you fill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 a defensible population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header before the rows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Capture criteria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result</w:t>
            </w:r>
          </w:p>
        </w:tc>
      </w:tr>
    </w:tbl>
    <w:bookmarkEnd w:id="47"/>
    <w:bookmarkStart w:id="48" w:name="your-deliverable-after-monday"/>
    <w:p>
      <w:pPr>
        <w:pStyle w:val="Heading1"/>
      </w:pPr>
      <w:r>
        <w:t xml:space="preserve">Your deliverable after Monday</w:t>
      </w:r>
    </w:p>
    <w:p>
      <w:pPr>
        <w:pStyle w:val="FirstParagraph"/>
      </w:pPr>
      <w:r>
        <w:rPr>
          <w:bCs/>
          <w:b/>
        </w:rPr>
        <w:t xml:space="preserve">One workpaper. Book 17, The Leaver. Due before Wednesday.</w:t>
      </w:r>
    </w:p>
    <w:p>
      <w:pPr>
        <w:pStyle w:val="BodyText"/>
      </w:pPr>
      <w:r>
        <w:t xml:space="preserve">Not all three Books. One, done properly.</w:t>
      </w:r>
    </w:p>
    <w:p>
      <w:pPr>
        <w:pStyle w:val="BodyText"/>
      </w:pPr>
      <w:r>
        <w:t xml:space="preserve">Four fields will be read closely: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Population definition</w:t>
      </w:r>
      <w:r>
        <w:t xml:space="preserve"> </w:t>
      </w:r>
      <w:r>
        <w:t xml:space="preserve">— precise enough to be rebuilt without asking you anything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Completeness and accuracy validation</w:t>
      </w:r>
      <w:r>
        <w:t xml:space="preserve"> </w:t>
      </w:r>
      <w:r>
        <w:t xml:space="preserve">— how you know the HR list was the whole list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Results by sample item</w:t>
      </w:r>
      <w:r>
        <w:t xml:space="preserve"> </w:t>
      </w:r>
      <w:r>
        <w:t xml:space="preserve">— per item, not a summary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Tester conclusion</w:t>
      </w:r>
      <w:r>
        <w:t xml:space="preserve"> </w:t>
      </w:r>
      <w:r>
        <w:t xml:space="preserve">— in your own words, with the two exception categories stated separately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bCs/>
          <w:b/>
        </w:rPr>
        <w:t xml:space="preserve">Reviewer notes</w:t>
      </w:r>
      <w:r>
        <w:t xml:space="preserve"> </w:t>
      </w:r>
      <w:r>
        <w:t xml:space="preserve">blank. That field isn’t yours.</w:t>
      </w:r>
    </w:p>
    <w:p>
      <w:pPr>
        <w:pStyle w:val="BodyText"/>
      </w:pPr>
      <w:r>
        <w:t xml:space="preserve">And the standard from Book 1 still applies:</w:t>
      </w:r>
      <w:r>
        <w:t xml:space="preserve"> </w:t>
      </w:r>
      <w:r>
        <w:rPr>
          <w:bCs/>
          <w:b/>
        </w:rPr>
        <w:t xml:space="preserve">written as found, on the date found, before you’ve decided whether you like it.</w:t>
      </w:r>
    </w:p>
    <w:p>
      <w:pPr>
        <w:pStyle w:val="BodyText"/>
      </w:pPr>
      <w:r>
        <w:t xml:space="preserve">If your conclusion contains</w:t>
      </w:r>
      <w:r>
        <w:t xml:space="preserve"> </w:t>
      </w:r>
      <w:r>
        <w:t xml:space="preserve">“</w:t>
      </w:r>
      <w:r>
        <w:t xml:space="preserve">minor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immaterial,</w:t>
      </w:r>
      <w:r>
        <w:t xml:space="preserve">”</w:t>
      </w:r>
      <w:r>
        <w:t xml:space="preserve"> </w:t>
      </w:r>
      <w:r>
        <w:t xml:space="preserve">it comes back. That’s a judgement about severity, and severity isn’t yours yet.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Reading Pack 4 — Before Monday, Week 2</dc:title>
  <dc:creator>SAP SOX / ITGC Controls — Course 1: The Full Sweep · Thornfield Industrial Group</dc:creator>
  <cp:keywords/>
  <dcterms:created xsi:type="dcterms:W3CDTF">2026-09-05T23:33:23Z</dcterms:created>
  <dcterms:modified xsi:type="dcterms:W3CDTF">2026-09-05T23:33:23Z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Module 1 hands on · Books 1, 16 and 17</vt:lpwstr>
  </property>
</Properties>
</file>