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Workpaper</w:t>
      </w:r>
      <w:r>
        <w:t xml:space="preserve"> </w:t>
      </w:r>
      <w:r>
        <w:t xml:space="preserve">Template</w:t>
      </w:r>
      <w:r>
        <w:t xml:space="preserve"> </w:t>
      </w:r>
      <w:r>
        <w:t xml:space="preserve">and</w:t>
      </w:r>
      <w:r>
        <w:t xml:space="preserve"> </w:t>
      </w:r>
      <w:r>
        <w:t xml:space="preserve">Standard</w:t>
      </w:r>
    </w:p>
    <w:p>
      <w:pPr>
        <w:pStyle w:val="Subtitle"/>
      </w:pPr>
      <w:r>
        <w:t xml:space="preserve">The</w:t>
      </w:r>
      <w:r>
        <w:t xml:space="preserve"> </w:t>
      </w:r>
      <w:r>
        <w:t xml:space="preserve">fields,</w:t>
      </w:r>
      <w:r>
        <w:t xml:space="preserve"> </w:t>
      </w:r>
      <w:r>
        <w:t xml:space="preserve">what</w:t>
      </w:r>
      <w:r>
        <w:t xml:space="preserve"> </w:t>
      </w:r>
      <w:r>
        <w:t xml:space="preserve">each</w:t>
      </w:r>
      <w:r>
        <w:t xml:space="preserve"> </w:t>
      </w:r>
      <w:r>
        <w:t xml:space="preserve">one</w:t>
      </w:r>
      <w:r>
        <w:t xml:space="preserve"> </w:t>
      </w:r>
      <w:r>
        <w:t xml:space="preserve">is</w:t>
      </w:r>
      <w:r>
        <w:t xml:space="preserve"> </w:t>
      </w:r>
      <w:r>
        <w:t xml:space="preserve">for,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gets</w:t>
      </w:r>
      <w:r>
        <w:t xml:space="preserve"> </w:t>
      </w:r>
      <w:r>
        <w:t xml:space="preserve">it</w:t>
      </w:r>
      <w:r>
        <w:t xml:space="preserve"> </w:t>
      </w:r>
      <w:r>
        <w:t xml:space="preserve">sent</w:t>
      </w:r>
      <w:r>
        <w:t xml:space="preserve"> </w:t>
      </w:r>
      <w:r>
        <w:t xml:space="preserve">back</w:t>
      </w:r>
    </w:p>
    <w:p>
      <w:pPr>
        <w:pStyle w:val="Author"/>
      </w:pPr>
      <w:r>
        <w:t xml:space="preserve">SAP</w:t>
      </w:r>
      <w:r>
        <w:t xml:space="preserve"> </w:t>
      </w:r>
      <w:r>
        <w:t xml:space="preserve">SOX</w:t>
      </w:r>
      <w:r>
        <w:t xml:space="preserve"> </w:t>
      </w:r>
      <w:r>
        <w:t xml:space="preserve">/</w:t>
      </w:r>
      <w:r>
        <w:t xml:space="preserve"> </w:t>
      </w:r>
      <w:r>
        <w:t xml:space="preserve">ITGC</w:t>
      </w:r>
      <w:r>
        <w:t xml:space="preserve"> </w:t>
      </w:r>
      <w:r>
        <w:t xml:space="preserve">Controls</w:t>
      </w:r>
      <w:r>
        <w:t xml:space="preserve"> </w:t>
      </w:r>
      <w:r>
        <w:t xml:space="preserve">—</w:t>
      </w:r>
      <w:r>
        <w:t xml:space="preserve"> </w:t>
      </w:r>
      <w:r>
        <w:t xml:space="preserve">Course</w:t>
      </w:r>
      <w:r>
        <w:t xml:space="preserve"> </w:t>
      </w:r>
      <w: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t xml:space="preserve">Use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three</w:t>
      </w:r>
      <w:r>
        <w:t xml:space="preserve"> </w:t>
      </w:r>
      <w:r>
        <w:t xml:space="preserve">submissions</w:t>
      </w:r>
    </w:p>
    <w:bookmarkStart w:id="21" w:name="the-standard-in-one-sentence"/>
    <w:p>
      <w:pPr>
        <w:pStyle w:val="Heading1"/>
      </w:pPr>
      <w:r>
        <w:t xml:space="preserve">The standard, in one sentence</w:t>
      </w:r>
    </w:p>
    <w:p>
      <w:pPr>
        <w:pStyle w:val="FirstParagraph"/>
      </w:pPr>
      <w:r>
        <w:rPr>
          <w:bCs/>
          <w:b/>
        </w:rPr>
        <w:t xml:space="preserve">Written as found, on the date found, before you have decided whether you like it.</w:t>
      </w:r>
    </w:p>
    <w:p>
      <w:pPr>
        <w:pStyle w:val="BodyText"/>
      </w:pPr>
      <w:r>
        <w:t xml:space="preserve">That is the whole standard. Everything below is how it gets applied.</w:t>
      </w:r>
    </w:p>
    <w:bookmarkStart w:id="20" w:name="why-it-matters-more-than-it-sounds"/>
    <w:p>
      <w:pPr>
        <w:pStyle w:val="Heading2"/>
      </w:pPr>
      <w:r>
        <w:t xml:space="preserve">Why it matters more than it sounds</w:t>
      </w:r>
    </w:p>
    <w:p>
      <w:pPr>
        <w:pStyle w:val="FirstParagraph"/>
      </w:pPr>
      <w:r>
        <w:t xml:space="preserve">In one of the Books you’ll read, an external auditor asks for a finding write-up</w:t>
      </w:r>
      <w:r>
        <w:t xml:space="preserve"> </w:t>
      </w:r>
      <w:r>
        <w:rPr>
          <w:bCs/>
          <w:b/>
        </w:rPr>
        <w:t xml:space="preserve">eight months after it was written</w:t>
      </w:r>
      <w:r>
        <w:t xml:space="preserve"> </w:t>
      </w:r>
      <w:r>
        <w:t xml:space="preserve">— and specifically asks for the original, not the cleaned-up version.</w:t>
      </w:r>
    </w:p>
    <w:p>
      <w:pPr>
        <w:pStyle w:val="BodyText"/>
      </w:pPr>
      <w:r>
        <w:t xml:space="preserve">It held up, because it had been written honestly on the day, before anyone knew how the story ended.</w:t>
      </w:r>
    </w:p>
    <w:p>
      <w:pPr>
        <w:pStyle w:val="BodyText"/>
      </w:pPr>
      <w:r>
        <w:rPr>
          <w:bCs/>
          <w:b/>
        </w:rPr>
        <w:t xml:space="preserve">When a regulator or an auditor asks about a prior period, your entire answer is whatever you happened to write down at the time.</w:t>
      </w:r>
      <w:r>
        <w:t xml:space="preserve"> </w:t>
      </w:r>
      <w:r>
        <w:t xml:space="preserve">Not what you remember. Not what you meant. What is in the file.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3859561418d776130c12db3d582b2d06aa7a2bc"/>
    <w:p>
      <w:pPr>
        <w:pStyle w:val="Heading1"/>
      </w:pPr>
      <w:r>
        <w:t xml:space="preserve">The fields — from Part 6 of your study guide</w:t>
      </w:r>
    </w:p>
    <w:p>
      <w:pPr>
        <w:pStyle w:val="FirstParagraph"/>
      </w:pPr>
      <w:r>
        <w:rPr>
          <w:bCs/>
          <w:b/>
        </w:rPr>
        <w:t xml:space="preserve">This is the field list from Part 6, in the guide’s own order.</w:t>
      </w:r>
      <w:r>
        <w:t xml:space="preserve"> </w:t>
      </w:r>
      <w:r>
        <w:t xml:space="preserve">Where this template and Part 6 differ, Part 6 wins.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belongs 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ID and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which control you’re testing, in the same words the control matrix uses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risk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What could go wrong in the business if this control failed —</w:t>
            </w:r>
            <w:r>
              <w:t xml:space="preserve"> </w:t>
            </w:r>
            <w:r>
              <w:rPr>
                <w:bCs/>
                <w:b/>
              </w:rPr>
              <w:t xml:space="preserve">not the SAP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control is designed to prevent or detect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 owner and control owner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Who runs the process, and who is accountable for the control operating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exact date range your population and conclusion cover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 definition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What population you tested, defined precisely enough that someone else could rebuild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system, report or transaction the population came from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Completeness and accuracy validation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How you confirmed the population is the whole population, not just what the report happened to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Sampling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you selected your sample, and why that approach is appropriate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Procedures performed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The actual steps you took, in enough detail to be reproducible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SAP transaction or report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specific T-code, Fiori app or GRC screen —</w:t>
            </w:r>
            <w:r>
              <w:t xml:space="preserve"> </w:t>
            </w:r>
            <w:r>
              <w:rPr>
                <w:bCs/>
                <w:b/>
              </w:rPr>
              <w:t xml:space="preserve">one line, not the whole workpaper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references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Screenshots, exports or documents, each labelled and 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Results by sample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found for each item tested, not just a summary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Exceptions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Anything that didn’t match what the control should have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Management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process owner said,</w:t>
            </w:r>
            <w:r>
              <w:t xml:space="preserve"> </w:t>
            </w:r>
            <w:r>
              <w:rPr>
                <w:bCs/>
                <w:b/>
              </w:rPr>
              <w:t xml:space="preserve">recorded as given</w:t>
            </w:r>
            <w:r>
              <w:t xml:space="preserve"> </w:t>
            </w:r>
            <w:r>
              <w:t xml:space="preserve">— not softened or agreed with yet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Tester conclusion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Your own conclusion, written before your Senior tells you what to think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Senior’s comments.</w:t>
            </w:r>
            <w:r>
              <w:t xml:space="preserve"> </w:t>
            </w:r>
            <w:r>
              <w:rPr>
                <w:bCs/>
                <w:b/>
              </w:rPr>
              <w:t xml:space="preserve">This field is theirs, not yours to fill in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disposition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What ultimately happened: closed, remediated, escalated, or carried forward</w:t>
            </w:r>
          </w:p>
        </w:tc>
      </w:tr>
    </w:tbl>
    <w:bookmarkStart w:id="22" w:name="the-evidence-reliability-questions"/>
    <w:p>
      <w:pPr>
        <w:pStyle w:val="Heading2"/>
      </w:pPr>
      <w:r>
        <w:t xml:space="preserve">The evidence reliability questions</w:t>
      </w:r>
    </w:p>
    <w:p>
      <w:pPr>
        <w:pStyle w:val="FirstParagraph"/>
      </w:pPr>
      <w:r>
        <w:t xml:space="preserve">Part 6 gives eight questions.</w:t>
      </w:r>
      <w:r>
        <w:t xml:space="preserve"> </w:t>
      </w:r>
      <w:r>
        <w:rPr>
          <w:bCs/>
          <w:b/>
        </w:rPr>
        <w:t xml:space="preserve">Ask them of the population before you sample it, not once you’re already partway through testing.</w:t>
      </w:r>
    </w:p>
    <w:p>
      <w:pPr>
        <w:numPr>
          <w:ilvl w:val="0"/>
          <w:numId w:val="1001"/>
        </w:numPr>
        <w:pStyle w:val="Compact"/>
      </w:pPr>
      <w:r>
        <w:t xml:space="preserve">Who generated the report — you, directly, or someone else who then gave it to you?</w:t>
      </w:r>
    </w:p>
    <w:p>
      <w:pPr>
        <w:numPr>
          <w:ilvl w:val="0"/>
          <w:numId w:val="1001"/>
        </w:numPr>
        <w:pStyle w:val="Compact"/>
      </w:pPr>
      <w:r>
        <w:t xml:space="preserve">Was it generated directly from production, or from an extract, a copy, or a spreadsheet someone built from it?</w:t>
      </w:r>
    </w:p>
    <w:p>
      <w:pPr>
        <w:numPr>
          <w:ilvl w:val="0"/>
          <w:numId w:val="1001"/>
        </w:numPr>
        <w:pStyle w:val="Compact"/>
      </w:pPr>
      <w:r>
        <w:t xml:space="preserve">What company codes, dates and document types were actually included — and did you confirm that, or assume it?</w:t>
      </w:r>
    </w:p>
    <w:p>
      <w:pPr>
        <w:numPr>
          <w:ilvl w:val="0"/>
          <w:numId w:val="1001"/>
        </w:numPr>
        <w:pStyle w:val="Compact"/>
      </w:pPr>
      <w:r>
        <w:t xml:space="preserve">Were any records excluded, and if so, was the exclusion justified and documented?</w:t>
      </w:r>
    </w:p>
    <w:p>
      <w:pPr>
        <w:numPr>
          <w:ilvl w:val="0"/>
          <w:numId w:val="1001"/>
        </w:numPr>
        <w:pStyle w:val="Compact"/>
      </w:pPr>
      <w:r>
        <w:t xml:space="preserve">Can the record count or totals be reconciled to an independent source?</w:t>
      </w:r>
    </w:p>
    <w:p>
      <w:pPr>
        <w:numPr>
          <w:ilvl w:val="0"/>
          <w:numId w:val="1001"/>
        </w:numPr>
        <w:pStyle w:val="Compact"/>
      </w:pPr>
      <w:r>
        <w:t xml:space="preserve">Is this an</w:t>
      </w:r>
      <w:r>
        <w:t xml:space="preserve"> </w:t>
      </w:r>
      <w:r>
        <w:rPr>
          <w:bCs/>
          <w:b/>
        </w:rPr>
        <w:t xml:space="preserve">information produced by the entity (IPE)</w:t>
      </w:r>
      <w:r>
        <w:t xml:space="preserve"> </w:t>
      </w:r>
      <w:r>
        <w:t xml:space="preserve">item — and if so, has its own reliability been established?</w:t>
      </w:r>
    </w:p>
    <w:p>
      <w:pPr>
        <w:numPr>
          <w:ilvl w:val="0"/>
          <w:numId w:val="1001"/>
        </w:numPr>
        <w:pStyle w:val="Compact"/>
      </w:pPr>
      <w:r>
        <w:t xml:space="preserve">How was the report’s completeness and accuracy actually validated, not just assumed?</w:t>
      </w:r>
    </w:p>
    <w:p>
      <w:pPr>
        <w:numPr>
          <w:ilvl w:val="0"/>
          <w:numId w:val="1001"/>
        </w:numPr>
        <w:pStyle w:val="Compact"/>
      </w:pPr>
      <w:r>
        <w:t xml:space="preserve">Could the user who ran this report have altered the output before handing it to you?</w:t>
      </w:r>
    </w:p>
    <w:bookmarkEnd w:id="22"/>
    <w:bookmarkStart w:id="23" w:name="X528fede067d3837ce01b2590148b18f62e6d2af"/>
    <w:p>
      <w:pPr>
        <w:pStyle w:val="Heading2"/>
      </w:pPr>
      <w:r>
        <w:t xml:space="preserve">Why this matters more than the transaction code</w:t>
      </w:r>
    </w:p>
    <w:p>
      <w:pPr>
        <w:pStyle w:val="FirstParagraph"/>
      </w:pPr>
      <w:r>
        <w:t xml:space="preserve">Part 6 names the most common junior mistake, and it is worth quoting:</w:t>
      </w:r>
    </w:p>
    <w:p>
      <w:pPr>
        <w:pStyle w:val="BlockText"/>
      </w:pPr>
      <w:r>
        <w:t xml:space="preserve">Writing</w:t>
      </w:r>
      <w:r>
        <w:t xml:space="preserve"> </w:t>
      </w:r>
      <w:r>
        <w:t xml:space="preserve">“</w:t>
      </w:r>
      <w:r>
        <w:t xml:space="preserve">SAP transaction used</w:t>
      </w:r>
      <w:r>
        <w:t xml:space="preserve">”</w:t>
      </w:r>
      <w:r>
        <w:t xml:space="preserve"> </w:t>
      </w:r>
      <w:r>
        <w:t xml:space="preserve">as if it were the whole workpaper, and leaving population definition, completeness validation, and tester conclusion thin or missing.</w:t>
      </w:r>
    </w:p>
    <w:p>
      <w:pPr>
        <w:pStyle w:val="FirstParagraph"/>
      </w:pPr>
      <w:r>
        <w:rPr>
          <w:bCs/>
          <w:b/>
        </w:rPr>
        <w:t xml:space="preserve">The transaction is one line. Everything around it is the actual evidence of your judgment.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e-app-does-not-do-any-of-this"/>
    <w:p>
      <w:pPr>
        <w:pStyle w:val="Heading1"/>
      </w:pPr>
      <w:r>
        <w:t xml:space="preserve">The app does not do any of this</w:t>
      </w:r>
    </w:p>
    <w:p>
      <w:pPr>
        <w:pStyle w:val="FirstParagraph"/>
      </w:pPr>
      <w:r>
        <w:rPr>
          <w:bCs/>
          <w:b/>
        </w:rPr>
        <w:t xml:space="preserve">This is the part trainees get wrong, so read it carefully.</w:t>
      </w:r>
    </w:p>
    <w:p>
      <w:pPr>
        <w:pStyle w:val="BodyText"/>
      </w:pPr>
      <w:r>
        <w:t xml:space="preserve">The SAP Testing Execution Guide app tells you which screen to open and what evidence to keep. It has</w:t>
      </w:r>
      <w:r>
        <w:t xml:space="preserve"> </w:t>
      </w:r>
      <w:r>
        <w:rPr>
          <w:bCs/>
          <w:b/>
        </w:rPr>
        <w:t xml:space="preserve">no field for any of the eighteen above</w:t>
      </w:r>
      <w:r>
        <w:t xml:space="preserve"> </w:t>
      </w:r>
      <w:r>
        <w:t xml:space="preserve">— no objective, no risk, no population definition, no sampling rule, no conclusion.</w:t>
      </w:r>
    </w:p>
    <w:p>
      <w:pPr>
        <w:pStyle w:val="BodyText"/>
      </w:pPr>
      <w:r>
        <w:t xml:space="preserve">And the</w:t>
      </w:r>
      <w:r>
        <w:t xml:space="preserve"> </w:t>
      </w:r>
      <w:r>
        <w:rPr>
          <w:rStyle w:val="VerbatimChar"/>
        </w:rPr>
        <w:t xml:space="preserve">📷 Not yet captured</w:t>
      </w:r>
      <w:r>
        <w:t xml:space="preserve"> </w:t>
      </w:r>
      <w:r>
        <w:t xml:space="preserve">slot beside each step is</w:t>
      </w:r>
      <w:r>
        <w:t xml:space="preserve"> </w:t>
      </w:r>
      <w:r>
        <w:rPr>
          <w:bCs/>
          <w:b/>
        </w:rPr>
        <w:t xml:space="preserve">a caption, not a control.</w:t>
      </w:r>
      <w:r>
        <w:t xml:space="preserve"> </w:t>
      </w:r>
      <w:r>
        <w:t xml:space="preserve">There is no upload, no file store, and no export of any kind.</w:t>
      </w:r>
      <w:r>
        <w:t xml:space="preserve"> </w:t>
      </w:r>
      <w:r>
        <w:rPr>
          <w:bCs/>
          <w:b/>
        </w:rPr>
        <w:t xml:space="preserve">Nothing you do in the app is saved except which Books you finished.</w:t>
      </w:r>
    </w:p>
    <w:p>
      <w:pPr>
        <w:pStyle w:val="BodyText"/>
      </w:pPr>
      <w:r>
        <w:t xml:space="preserve">So: the app tells you what evidence to capture.</w:t>
      </w:r>
      <w:r>
        <w:t xml:space="preserve"> </w:t>
      </w:r>
      <w:r>
        <w:rPr>
          <w:bCs/>
          <w:b/>
        </w:rPr>
        <w:t xml:space="preserve">You capture it, and it goes here.</w:t>
      </w:r>
      <w:r>
        <w:t xml:space="preserve"> </w:t>
      </w:r>
      <w:r>
        <w:t xml:space="preserve">This workpaper is the only artefact that survives the exercise.</w:t>
      </w:r>
    </w:p>
    <w:p>
      <w:r>
        <w:pict>
          <v:rect style="width:0;height:1.5pt" o:hralign="center" o:hrstd="t" o:hr="t"/>
        </w:pict>
      </w:r>
    </w:p>
    <w:bookmarkEnd w:id="25"/>
    <w:bookmarkStart w:id="32" w:name="what-gets-a-workpaper-sent-back"/>
    <w:p>
      <w:pPr>
        <w:pStyle w:val="Heading1"/>
      </w:pPr>
      <w:r>
        <w:t xml:space="preserve">What gets a workpaper sent back</w:t>
      </w:r>
    </w:p>
    <w:bookmarkStart w:id="26" w:name="a-conclusion-that-states-severity"/>
    <w:p>
      <w:pPr>
        <w:pStyle w:val="Heading2"/>
      </w:pPr>
      <w:r>
        <w:t xml:space="preserve">1. A conclusion that states severity</w:t>
      </w:r>
    </w:p>
    <w:p>
      <w:pPr>
        <w:pStyle w:val="FirstParagraph"/>
      </w:pPr>
      <w:r>
        <w:t xml:space="preserve">If your conclusion contains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minor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immaterial</w:t>
      </w:r>
      <w:r>
        <w:rPr>
          <w:bCs/>
          <w:b/>
        </w:rPr>
        <w:t xml:space="preserve">”</w:t>
      </w:r>
      <w:r>
        <w:t xml:space="preserve">, it comes back.</w:t>
      </w:r>
    </w:p>
    <w:p>
      <w:pPr>
        <w:pStyle w:val="BodyText"/>
      </w:pPr>
      <w:r>
        <w:t xml:space="preserve">That isn’t because you’re wrong.</w:t>
      </w:r>
      <w:r>
        <w:t xml:space="preserve"> </w:t>
      </w:r>
      <w:r>
        <w:rPr>
          <w:bCs/>
          <w:b/>
        </w:rPr>
        <w:t xml:space="preserve">Deciding how serious a deficiency is gets made by people with materiality thresholds you don’t have access to.</w:t>
      </w:r>
      <w:r>
        <w:t xml:space="preserve"> </w:t>
      </w:r>
      <w:r>
        <w:t xml:space="preserve">Your job is to establish the facts precisely enough that they can decide correctly.</w:t>
      </w:r>
    </w:p>
    <w:p>
      <w:pPr>
        <w:pStyle w:val="BodyText"/>
      </w:pPr>
      <w:r>
        <w:rPr>
          <w:bCs/>
          <w:b/>
        </w:rPr>
        <w:t xml:space="preserve">Deficiency</w:t>
      </w:r>
      <w:r>
        <w:t xml:space="preserve">,</w:t>
      </w:r>
      <w:r>
        <w:t xml:space="preserve"> </w:t>
      </w:r>
      <w:r>
        <w:rPr>
          <w:bCs/>
          <w:b/>
        </w:rPr>
        <w:t xml:space="preserve">significant deficiency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material weakness</w:t>
      </w:r>
      <w:r>
        <w:t xml:space="preserve"> </w:t>
      </w:r>
      <w:r>
        <w:t xml:space="preserve">are not interchangeable words, and choosing between them is not your call yet.</w:t>
      </w:r>
    </w:p>
    <w:bookmarkEnd w:id="26"/>
    <w:bookmarkStart w:id="27" w:name="X45c739f78962932d76e79a78cbccdacd03e736f"/>
    <w:p>
      <w:pPr>
        <w:pStyle w:val="Heading2"/>
      </w:pPr>
      <w:r>
        <w:t xml:space="preserve">2. A population from the wrong side of the gap</w:t>
      </w:r>
    </w:p>
    <w:p>
      <w:pPr>
        <w:pStyle w:val="FirstParagraph"/>
      </w:pPr>
      <w:r>
        <w:t xml:space="preserve">The single most common failure. If your Book 2 population came from the ticket system rather than production’s import history, it comes back with one word on it.</w:t>
      </w:r>
    </w:p>
    <w:p>
      <w:pPr>
        <w:pStyle w:val="BodyText"/>
      </w:pPr>
      <w:r>
        <w:rPr>
          <w:bCs/>
          <w:b/>
        </w:rPr>
        <w:t xml:space="preserve">You cannot find an unapproved change in the list of approved changes.</w:t>
      </w:r>
    </w:p>
    <w:bookmarkEnd w:id="27"/>
    <w:bookmarkStart w:id="28" w:name="a-thin-completeness-field"/>
    <w:p>
      <w:pPr>
        <w:pStyle w:val="Heading2"/>
      </w:pPr>
      <w:r>
        <w:t xml:space="preserve">3. A thin completeness field</w:t>
      </w:r>
    </w:p>
    <w:p>
      <w:pPr>
        <w:pStyle w:val="FirstParagraph"/>
      </w:pPr>
      <w:r>
        <w:t xml:space="preserve">“</w:t>
      </w:r>
      <w:r>
        <w:t xml:space="preserve">Obtained from the system</w:t>
      </w:r>
      <w:r>
        <w:t xml:space="preserve">”</w:t>
      </w:r>
      <w:r>
        <w:t xml:space="preserve"> </w:t>
      </w:r>
      <w:r>
        <w:t xml:space="preserve">is not completeness validation. How do you know it was the whole list?</w:t>
      </w:r>
    </w:p>
    <w:bookmarkEnd w:id="28"/>
    <w:bookmarkStart w:id="29" w:name="results-summarised-instead-of-listed"/>
    <w:p>
      <w:pPr>
        <w:pStyle w:val="Heading2"/>
      </w:pPr>
      <w:r>
        <w:t xml:space="preserve">4. Results summarised instead of listed</w:t>
      </w:r>
    </w:p>
    <w:p>
      <w:pPr>
        <w:pStyle w:val="FirstParagraph"/>
      </w:pPr>
      <w:r>
        <w:t xml:space="preserve">Per sample item. Not</w:t>
      </w:r>
      <w:r>
        <w:t xml:space="preserve"> </w:t>
      </w:r>
      <w:r>
        <w:t xml:space="preserve">“</w:t>
      </w:r>
      <w:r>
        <w:t xml:space="preserve">no exceptions noted across 25 items.</w:t>
      </w:r>
      <w:r>
        <w:t xml:space="preserve">”</w:t>
      </w:r>
    </w:p>
    <w:bookmarkEnd w:id="29"/>
    <w:bookmarkStart w:id="31" w:name="Xa8245ca67edc07834ef116c1cb004acf50458c8"/>
    <w:p>
      <w:pPr>
        <w:pStyle w:val="Heading2"/>
      </w:pPr>
      <w:r>
        <w:t xml:space="preserve">5. A conclusion a Financial Controller couldn’t act on</w:t>
      </w:r>
    </w:p>
    <w:p>
      <w:pPr>
        <w:pStyle w:val="FirstParagraph"/>
      </w:pPr>
      <w:r>
        <w:t xml:space="preserve">The target is</w:t>
      </w:r>
      <w:r>
        <w:t xml:space="preserve"> </w:t>
      </w:r>
      <w:r>
        <w:rPr>
          <w:bCs/>
          <w:b/>
        </w:rPr>
        <w:t xml:space="preserve">one paragraph, readable without a single follow-up question.</w:t>
      </w:r>
    </w:p>
    <w:p>
      <w:pPr>
        <w:pStyle w:val="BodyText"/>
      </w:pPr>
      <w:r>
        <w:t xml:space="preserve">It needs:</w:t>
      </w:r>
      <w:r>
        <w:t xml:space="preserve"> </w:t>
      </w:r>
      <w:r>
        <w:rPr>
          <w:bCs/>
          <w:b/>
        </w:rPr>
        <w:t xml:space="preserve">what, how many, how much, cause, duration.</w:t>
      </w:r>
    </w:p>
    <w:bookmarkStart w:id="30" w:name="a-conclusion-that-meets-the-standard"/>
    <w:p>
      <w:pPr>
        <w:pStyle w:val="Heading3"/>
      </w:pPr>
      <w:r>
        <w:t xml:space="preserve">A conclusion that meets the standard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Four hundred and twelve manual journal entries totalling $18.4 million were posted above the policy approval threshold without workflow routing, as a result of a workflow configuration parameter set to $100,000 rather than the policy value of $10,000, from 3 January to 6 June.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One sentence. What, how many, how much, cause, duration. Nothing left to ask.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say-what-you-did-not-find"/>
    <w:p>
      <w:pPr>
        <w:pStyle w:val="Heading1"/>
      </w:pPr>
      <w:r>
        <w:t xml:space="preserve">Say what you did NOT find</w:t>
      </w:r>
    </w:p>
    <w:p>
      <w:pPr>
        <w:pStyle w:val="FirstParagraph"/>
      </w:pPr>
      <w:r>
        <w:t xml:space="preserve">A finding that leaves out the mitigating fact reads as sloppy or slanted.</w:t>
      </w:r>
      <w:r>
        <w:t xml:space="preserve"> </w:t>
      </w:r>
      <w:r>
        <w:rPr>
          <w:bCs/>
          <w:b/>
        </w:rPr>
        <w:t xml:space="preserve">Both cost you the process owner you now need on your side.</w:t>
      </w:r>
    </w:p>
    <w:p>
      <w:pPr>
        <w:pStyle w:val="BodyText"/>
      </w:pPr>
      <w:r>
        <w:t xml:space="preserve">If you reviewed the transport contents and they were legitimate operational fixes — say so. If you looked for something and it wasn’t there — say that too.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Review of the transport contents identified no unauthorised functional change. One transport contained an unrelated configuration change, explained by management as incidental; the explanation was recorded as given and not independently corroborated.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Start w:id="34" w:name="your-three-submissions"/>
    <w:p>
      <w:pPr>
        <w:pStyle w:val="Heading1"/>
      </w:pPr>
      <w:r>
        <w:t xml:space="preserve">Your three submissions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1980"/>
        <w:gridCol w:w="1980"/>
        <w:gridCol w:w="1980"/>
        <w:gridCol w:w="198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Book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Due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Extra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17 — The Leaver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the second lab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list split into</w:t>
            </w:r>
            <w:r>
              <w:t xml:space="preserve"> </w:t>
            </w:r>
            <w:r>
              <w:rPr>
                <w:bCs/>
                <w:b/>
              </w:rPr>
              <w:t xml:space="preserve">two columns</w:t>
            </w:r>
            <w:r>
              <w:t xml:space="preserve">: still active · active with post-termination logon. Two different severities, never merged.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Book 2 — The Emergency Change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Before the third lab session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Population must explicitly come from</w:t>
            </w:r>
            <w:r>
              <w:t xml:space="preserve"> </w:t>
            </w:r>
            <w:r>
              <w:rPr>
                <w:bCs/>
                <w:b/>
              </w:rPr>
              <w:t xml:space="preserve">production import history</w:t>
            </w:r>
            <w:r>
              <w:t xml:space="preserve">. Exceptions</w:t>
            </w:r>
            <w:r>
              <w:t xml:space="preserve"> </w:t>
            </w:r>
            <w:r>
              <w:rPr>
                <w:bCs/>
                <w:b/>
              </w:rPr>
              <w:t xml:space="preserve">classified</w:t>
            </w:r>
            <w:r>
              <w:t xml:space="preserve"> </w:t>
            </w:r>
            <w:r>
              <w:t xml:space="preserve">into three categories. Conclusion must state what you did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find.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3 — The Approval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one week of the final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contain</w:t>
            </w:r>
            <w:r>
              <w:t xml:space="preserve"> </w:t>
            </w:r>
            <w:r>
              <w:rPr>
                <w:bCs/>
                <w:b/>
              </w:rPr>
              <w:t xml:space="preserve">both limbs</w:t>
            </w:r>
            <w:r>
              <w:t xml:space="preserve"> </w:t>
            </w:r>
            <w:r>
              <w:t xml:space="preserve">— configuration testing and operating effectiveness testing, as separate procedures with separate results.</w:t>
            </w:r>
          </w:p>
        </w:tc>
      </w:tr>
    </w:tbl>
    <w:p>
      <w:pPr>
        <w:pStyle w:val="BodyText"/>
      </w:pPr>
      <w:r>
        <w:rPr>
          <w:bCs/>
          <w:b/>
        </w:rPr>
        <w:t xml:space="preserve">One workpaper each time, done properly.</w:t>
      </w:r>
      <w:r>
        <w:t xml:space="preserve"> </w:t>
      </w:r>
      <w:r>
        <w:t xml:space="preserve">Not three done quickly.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[Note: reconcile this template against Part 6 of the study guide before your first submission. Where the two differ, Part 6 is authoritative.]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Workpaper Template and Standard</dc:title>
  <dc:creator>SAP SOX / ITGC Controls — Course 1 · Use for all three submissions</dc:creator>
  <cp:keywords/>
  <dcterms:created xsi:type="dcterms:W3CDTF">2026-09-05T23:33:22Z</dcterms:created>
  <dcterms:modified xsi:type="dcterms:W3CDTF">2026-09-05T23:33:22Z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The fields, what each one is for, and what gets it sent back</vt:lpwstr>
  </property>
</Properties>
</file>