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Reading</w:t>
      </w:r>
      <w:r>
        <w:t xml:space="preserve"> </w:t>
      </w:r>
      <w:r>
        <w:t xml:space="preserve">Pack</w:t>
      </w:r>
      <w:r>
        <w:t xml:space="preserve"> </w:t>
      </w:r>
      <w:r>
        <w:t xml:space="preserve">2</w:t>
      </w:r>
      <w:r>
        <w:t xml:space="preserve"> </w:t>
      </w:r>
      <w:r>
        <w:t xml:space="preserve">—</w:t>
      </w:r>
      <w:r>
        <w:t xml:space="preserve"> </w:t>
      </w:r>
      <w:r>
        <w:t xml:space="preserve">Before</w:t>
      </w:r>
      <w:r>
        <w:t xml:space="preserve"> </w:t>
      </w:r>
      <w:r>
        <w:t xml:space="preserve">Wednesday,</w:t>
      </w:r>
      <w:r>
        <w:t xml:space="preserve"> </w:t>
      </w:r>
      <w:r>
        <w:t xml:space="preserve">Week</w:t>
      </w:r>
      <w:r>
        <w:t xml:space="preserve"> </w:t>
      </w:r>
      <w:r>
        <w:t xml:space="preserve">1</w:t>
      </w:r>
    </w:p>
    <w:p>
      <w:pPr>
        <w:pStyle w:val="Subtitle"/>
      </w:pPr>
      <w:r>
        <w:t xml:space="preserve">Module</w:t>
      </w:r>
      <w:r>
        <w:t xml:space="preserve"> </w:t>
      </w:r>
      <w:r>
        <w:t xml:space="preserve">2</w:t>
      </w:r>
      <w:r>
        <w:t xml:space="preserve"> </w:t>
      </w:r>
      <w:r>
        <w:t xml:space="preserve">·</w:t>
      </w:r>
      <w:r>
        <w:t xml:space="preserve"> </w:t>
      </w:r>
      <w:r>
        <w:t xml:space="preserve">Change,</w:t>
      </w:r>
      <w:r>
        <w:t xml:space="preserve"> </w:t>
      </w:r>
      <w:r>
        <w:t xml:space="preserve">Operations</w:t>
      </w:r>
      <w:r>
        <w:t xml:space="preserve"> </w:t>
      </w:r>
      <w:r>
        <w:t xml:space="preserve">&amp;</w:t>
      </w:r>
      <w:r>
        <w:t xml:space="preserve"> </w:t>
      </w:r>
      <w:r>
        <w:t xml:space="preserve">the</w:t>
      </w:r>
      <w:r>
        <w:t xml:space="preserve"> </w:t>
      </w:r>
      <w:r>
        <w:t xml:space="preserve">Data</w:t>
      </w:r>
      <w:r>
        <w:t xml:space="preserve"> </w:t>
      </w:r>
      <w:r>
        <w:t xml:space="preserve">Estate</w:t>
      </w:r>
    </w:p>
    <w:p>
      <w:pPr>
        <w:pStyle w:val="Author"/>
      </w:pPr>
      <w:r>
        <w:t xml:space="preserve">SAP</w:t>
      </w:r>
      <w:r>
        <w:t xml:space="preserve"> </w:t>
      </w:r>
      <w:r>
        <w:t xml:space="preserve">SOX</w:t>
      </w:r>
      <w:r>
        <w:t xml:space="preserve"> </w:t>
      </w:r>
      <w:r>
        <w:t xml:space="preserve">/</w:t>
      </w:r>
      <w:r>
        <w:t xml:space="preserve"> </w:t>
      </w:r>
      <w:r>
        <w:t xml:space="preserve">ITGC</w:t>
      </w:r>
      <w:r>
        <w:t xml:space="preserve"> </w:t>
      </w:r>
      <w:r>
        <w:t xml:space="preserve">Controls</w:t>
      </w:r>
      <w:r>
        <w:t xml:space="preserve"> </w:t>
      </w:r>
      <w:r>
        <w:t xml:space="preserve">—</w:t>
      </w:r>
      <w:r>
        <w:t xml:space="preserve"> </w:t>
      </w:r>
      <w:r>
        <w:t xml:space="preserve">Course</w:t>
      </w:r>
      <w:r>
        <w:t xml:space="preserve"> </w:t>
      </w:r>
      <w:r>
        <w:t xml:space="preserve">1:</w:t>
      </w:r>
      <w:r>
        <w:t xml:space="preserve"> </w:t>
      </w:r>
      <w:r>
        <w:t xml:space="preserve">The</w:t>
      </w:r>
      <w:r>
        <w:t xml:space="preserve"> </w:t>
      </w:r>
      <w:r>
        <w:t xml:space="preserve">Full</w:t>
      </w:r>
      <w:r>
        <w:t xml:space="preserve"> </w:t>
      </w:r>
      <w:r>
        <w:t xml:space="preserve">Sweep</w:t>
      </w:r>
      <w:r>
        <w:t xml:space="preserve"> </w:t>
      </w:r>
      <w:r>
        <w:t xml:space="preserve">·</w:t>
      </w:r>
      <w:r>
        <w:t xml:space="preserve"> </w:t>
      </w:r>
      <w:r>
        <w:t xml:space="preserve">Thornfield</w:t>
      </w:r>
      <w:r>
        <w:t xml:space="preserve"> </w:t>
      </w:r>
      <w:r>
        <w:t xml:space="preserve">Industrial</w:t>
      </w:r>
      <w:r>
        <w:t xml:space="preserve"> </w:t>
      </w:r>
      <w:r>
        <w:t xml:space="preserve">Group</w:t>
      </w:r>
    </w:p>
    <w:bookmarkStart w:id="20" w:name="before-you-start"/>
    <w:p>
      <w:pPr>
        <w:pStyle w:val="Heading1"/>
      </w:pPr>
      <w:r>
        <w:t xml:space="preserve">Before you start</w:t>
      </w:r>
    </w:p>
    <w:p>
      <w:pPr>
        <w:pStyle w:val="FirstParagraph"/>
      </w:pPr>
      <w:r>
        <w:rPr>
          <w:bCs/>
          <w:b/>
        </w:rPr>
        <w:t xml:space="preserve">Read Book 2 in full.</w:t>
      </w:r>
      <w:r>
        <w:t xml:space="preserve"> </w:t>
      </w:r>
      <w:r>
        <w:t xml:space="preserve">Wednesday runs the whole reasoning chain against it, and you supply two of the steps. Read it properly or you’ll be watching rather than working.</w:t>
      </w:r>
    </w:p>
    <w:p>
      <w:pPr>
        <w:pStyle w:val="BodyText"/>
      </w:pPr>
      <w:r>
        <w:t xml:space="preserve">Then read the seven short pieces. Same as last time — names and shapes.</w:t>
      </w:r>
    </w:p>
    <w:p>
      <w:pPr>
        <w:pStyle w:val="BodyText"/>
      </w:pPr>
      <w:r>
        <w:rPr>
          <w:bCs/>
          <w:b/>
        </w:rPr>
        <w:t xml:space="preserve">Total time: about 60 to 75 minutes.</w:t>
      </w:r>
    </w:p>
    <w:p>
      <w:pPr>
        <w:pStyle w:val="BodyText"/>
      </w:pPr>
      <w:r>
        <w:rPr>
          <w:bCs/>
          <w:b/>
        </w:rPr>
        <w:t xml:space="preserve">One question to hold while you read Book 2:</w:t>
      </w:r>
      <w:r>
        <w:t xml:space="preserve"> </w:t>
      </w:r>
      <w:r>
        <w:rPr>
          <w:iCs/>
          <w:i/>
        </w:rPr>
        <w:t xml:space="preserve">the person who moved those transports prevented an outage. So what exactly is the finding?</w:t>
      </w:r>
    </w:p>
    <w:p>
      <w:r>
        <w:pict>
          <v:rect style="width:0;height:1.5pt" o:hralign="center" o:hrstd="t" o:hr="t"/>
        </w:pict>
      </w:r>
    </w:p>
    <w:bookmarkEnd w:id="20"/>
    <w:bookmarkStart w:id="22" w:name="X494652eff7ce2c29e19c94540b698059b5c16f4"/>
    <w:p>
      <w:pPr>
        <w:pStyle w:val="Heading1"/>
      </w:pPr>
      <w:r>
        <w:t xml:space="preserve">What changed between Module 1 and Module 2</w:t>
      </w:r>
    </w:p>
    <w:p>
      <w:pPr>
        <w:pStyle w:val="FirstParagraph"/>
      </w:pPr>
      <w:r>
        <w:t xml:space="preserve">Module 1 was about</w:t>
      </w:r>
      <w:r>
        <w:t xml:space="preserve"> </w:t>
      </w:r>
      <w:r>
        <w:rPr>
          <w:bCs/>
          <w:b/>
        </w:rPr>
        <w:t xml:space="preserve">state</w:t>
      </w:r>
      <w:r>
        <w:t xml:space="preserve">. Who holds what, right now. You take a picture at a point in time and you interrogate the picture.</w:t>
      </w:r>
    </w:p>
    <w:p>
      <w:pPr>
        <w:pStyle w:val="BodyText"/>
      </w:pPr>
      <w:r>
        <w:t xml:space="preserve">Module 2 is about</w:t>
      </w:r>
      <w:r>
        <w:t xml:space="preserve"> </w:t>
      </w:r>
      <w:r>
        <w:rPr>
          <w:bCs/>
          <w:b/>
        </w:rPr>
        <w:t xml:space="preserve">events over a period</w:t>
      </w:r>
      <w:r>
        <w:t xml:space="preserve">. Something moved. A job ran. A backup completed. A message crossed between systems.</w:t>
      </w:r>
    </w:p>
    <w:p>
      <w:pPr>
        <w:pStyle w:val="BodyText"/>
      </w:pPr>
      <w:r>
        <w:t xml:space="preserve">And events have a property that state doesn’t.</w:t>
      </w:r>
    </w:p>
    <w:p>
      <w:pPr>
        <w:pStyle w:val="BodyText"/>
      </w:pPr>
      <w:r>
        <w:rPr>
          <w:bCs/>
          <w:b/>
        </w:rPr>
        <w:t xml:space="preserve">An event that never happened leaves no record of not happening.</w:t>
      </w:r>
    </w:p>
    <w:p>
      <w:pPr>
        <w:pStyle w:val="BodyText"/>
      </w:pPr>
      <w:r>
        <w:t xml:space="preserve">That’s the whole difficulty of this module, and it turns up in all seven Books. In access testing, the thing you’re looking for is in the report. In change and operations testing, the thing you’re looking for is often the thing that</w:t>
      </w:r>
      <w:r>
        <w:t xml:space="preserve"> </w:t>
      </w:r>
      <w:r>
        <w:rPr>
          <w:bCs/>
          <w:b/>
        </w:rPr>
        <w:t xml:space="preserve">isn’t</w:t>
      </w:r>
      <w:r>
        <w:t xml:space="preserve"> </w:t>
      </w:r>
      <w:r>
        <w:t xml:space="preserve">in the report — and you have to build a way to see an absence.</w:t>
      </w:r>
    </w:p>
    <w:bookmarkStart w:id="21" w:name="one-picture-to-carry-through-everything"/>
    <w:p>
      <w:pPr>
        <w:pStyle w:val="Heading2"/>
      </w:pPr>
      <w:r>
        <w:t xml:space="preserve">One picture to carry through everything</w:t>
      </w:r>
    </w:p>
    <w:p>
      <w:pPr>
        <w:pStyle w:val="FirstParagraph"/>
      </w:pPr>
      <w:r>
        <w:t xml:space="preserve">SAP is normally not one system. It’s three.</w:t>
      </w:r>
    </w:p>
    <w:p>
      <w:pPr>
        <w:pStyle w:val="BodyText"/>
      </w:pPr>
      <w:r>
        <w:rPr>
          <w:bCs/>
          <w:b/>
        </w:rPr>
        <w:t xml:space="preserve">DEV → QAS → PRD</w:t>
      </w:r>
    </w:p>
    <w:p>
      <w:pPr>
        <w:numPr>
          <w:ilvl w:val="0"/>
          <w:numId w:val="1001"/>
        </w:numPr>
        <w:pStyle w:val="Compact"/>
      </w:pPr>
      <w:r>
        <w:rPr>
          <w:bCs/>
          <w:b/>
        </w:rPr>
        <w:t xml:space="preserve">Development (DEV)</w:t>
      </w:r>
      <w:r>
        <w:t xml:space="preserve"> </w:t>
      </w:r>
      <w:r>
        <w:t xml:space="preserve">— where a developer or configurer makes a change.</w:t>
      </w:r>
    </w:p>
    <w:p>
      <w:pPr>
        <w:numPr>
          <w:ilvl w:val="0"/>
          <w:numId w:val="1001"/>
        </w:numPr>
        <w:pStyle w:val="Compact"/>
      </w:pPr>
      <w:r>
        <w:rPr>
          <w:bCs/>
          <w:b/>
        </w:rPr>
        <w:t xml:space="preserve">Quality Assurance (QAS)</w:t>
      </w:r>
      <w:r>
        <w:t xml:space="preserve"> </w:t>
      </w:r>
      <w:r>
        <w:t xml:space="preserve">— where the change gets tested.</w:t>
      </w:r>
    </w:p>
    <w:p>
      <w:pPr>
        <w:numPr>
          <w:ilvl w:val="0"/>
          <w:numId w:val="1001"/>
        </w:numPr>
        <w:pStyle w:val="Compact"/>
      </w:pPr>
      <w:r>
        <w:rPr>
          <w:bCs/>
          <w:b/>
        </w:rPr>
        <w:t xml:space="preserve">Production (PRD)</w:t>
      </w:r>
      <w:r>
        <w:t xml:space="preserve"> </w:t>
      </w:r>
      <w:r>
        <w:t xml:space="preserve">— the live system. Real business, real numbers.</w:t>
      </w:r>
    </w:p>
    <w:p>
      <w:pPr>
        <w:pStyle w:val="FirstParagraph"/>
      </w:pPr>
      <w:r>
        <w:t xml:space="preserve">A change gets built in DEV, packaged into something called a</w:t>
      </w:r>
      <w:r>
        <w:t xml:space="preserve"> </w:t>
      </w:r>
      <w:r>
        <w:rPr>
          <w:bCs/>
          <w:b/>
        </w:rPr>
        <w:t xml:space="preserve">transport</w:t>
      </w:r>
      <w:r>
        <w:t xml:space="preserve">, and moved —</w:t>
      </w:r>
      <w:r>
        <w:t xml:space="preserve"> </w:t>
      </w:r>
      <w:r>
        <w:rPr>
          <w:iCs/>
          <w:i/>
        </w:rPr>
        <w:t xml:space="preserve">transported</w:t>
      </w:r>
      <w:r>
        <w:t xml:space="preserve"> </w:t>
      </w:r>
      <w:r>
        <w:t xml:space="preserve">— through QAS into PRD.</w:t>
      </w:r>
    </w:p>
    <w:p>
      <w:pPr>
        <w:pStyle w:val="BodyText"/>
      </w:pPr>
      <w:r>
        <w:t xml:space="preserve">Everything in Module 2 is one of three things. Something crossing those boundaries. Something running inside PRD on a schedule. Or something crossing out of SAP altogether into another system.</w:t>
      </w:r>
    </w:p>
    <w:p>
      <w:r>
        <w:pict>
          <v:rect style="width:0;height:1.5pt" o:hralign="center" o:hrstd="t" o:hr="t"/>
        </w:pict>
      </w:r>
    </w:p>
    <w:bookmarkEnd w:id="21"/>
    <w:bookmarkEnd w:id="22"/>
    <w:bookmarkStart w:id="31" w:name="book-2-the-emergency-change"/>
    <w:p>
      <w:pPr>
        <w:pStyle w:val="Heading1"/>
      </w:pPr>
      <w:r>
        <w:t xml:space="preserve">BOOK 2 — THE EMERGENCY CHANGE</w:t>
      </w:r>
    </w:p>
    <w:p>
      <w:pPr>
        <w:pStyle w:val="FirstParagraph"/>
      </w:pPr>
      <w:r>
        <w:rPr>
          <w:bCs/>
          <w:b/>
        </w:rPr>
        <w:t xml:space="preserve">Scope area:</w:t>
      </w:r>
      <w:r>
        <w:t xml:space="preserve"> </w:t>
      </w:r>
      <w:r>
        <w:t xml:space="preserve">Change management</w:t>
      </w:r>
      <w:r>
        <w:t xml:space="preserve"> </w:t>
      </w:r>
      <w:r>
        <w:rPr>
          <w:bCs/>
          <w:b/>
        </w:rPr>
        <w:t xml:space="preserve">Read this one in full.</w:t>
      </w:r>
    </w:p>
    <w:bookmarkStart w:id="23" w:name="saturday"/>
    <w:p>
      <w:pPr>
        <w:pStyle w:val="Heading2"/>
      </w:pPr>
      <w:r>
        <w:t xml:space="preserve">Saturday</w:t>
      </w:r>
    </w:p>
    <w:p>
      <w:pPr>
        <w:pStyle w:val="FirstParagraph"/>
      </w:pPr>
      <w:r>
        <w:t xml:space="preserve">The payment posting run failed at 4:40 on a Friday afternoon. Not dramatically — it just stopped, halfway, leaving a batch half-processed and finance with no way to close the week.</w:t>
      </w:r>
    </w:p>
    <w:p>
      <w:pPr>
        <w:pStyle w:val="BodyText"/>
      </w:pPr>
      <w:r>
        <w:t xml:space="preserve">Ilse Tan, the SAP Basis Lead, got the call at home on Saturday morning.</w:t>
      </w:r>
    </w:p>
    <w:p>
      <w:pPr>
        <w:pStyle w:val="BodyText"/>
      </w:pPr>
      <w:r>
        <w:t xml:space="preserve">The normal change path is not fast. Build in DEV. Test in QAS. Raise a ticket. Wait for the change advisory board, which meets Tuesdays. Get approval. Import to production.</w:t>
      </w:r>
    </w:p>
    <w:p>
      <w:pPr>
        <w:pStyle w:val="BodyText"/>
      </w:pPr>
      <w:r>
        <w:rPr>
          <w:bCs/>
          <w:b/>
        </w:rPr>
        <w:t xml:space="preserve">Days.</w:t>
      </w:r>
      <w:r>
        <w:t xml:space="preserve"> </w:t>
      </w:r>
      <w:r>
        <w:t xml:space="preserve">And the business was down now.</w:t>
      </w:r>
    </w:p>
    <w:p>
      <w:pPr>
        <w:pStyle w:val="BodyText"/>
      </w:pPr>
      <w:r>
        <w:t xml:space="preserve">So Ilse did what any competent Basis lead does. She diagnosed it, fixed it, and moved the fix into production. Then she found the next thing it had broken, and moved that. By Sunday evening she had imported</w:t>
      </w:r>
      <w:r>
        <w:t xml:space="preserve"> </w:t>
      </w:r>
      <w:r>
        <w:rPr>
          <w:bCs/>
          <w:b/>
        </w:rPr>
        <w:t xml:space="preserve">six transports</w:t>
      </w:r>
      <w:r>
        <w:t xml:space="preserve"> </w:t>
      </w:r>
      <w:r>
        <w:t xml:space="preserve">into Thornfield’s production financial system.</w:t>
      </w:r>
    </w:p>
    <w:p>
      <w:pPr>
        <w:pStyle w:val="BodyText"/>
      </w:pPr>
      <w:r>
        <w:t xml:space="preserve">Monday morning, the payment run worked. Finance closed the week. Everyone was relieved.</w:t>
      </w:r>
    </w:p>
    <w:p>
      <w:pPr>
        <w:pStyle w:val="BodyText"/>
      </w:pPr>
      <w:r>
        <w:t xml:space="preserve">And Thornfield had six changes in its production financial system that never passed through the process that exists specifically to make production changes trustworthy.</w:t>
      </w:r>
    </w:p>
    <w:bookmarkEnd w:id="23"/>
    <w:bookmarkStart w:id="24" w:name="how-it-surfaced"/>
    <w:p>
      <w:pPr>
        <w:pStyle w:val="Heading2"/>
      </w:pPr>
      <w:r>
        <w:t xml:space="preserve">How it surfaced</w:t>
      </w:r>
    </w:p>
    <w:p>
      <w:pPr>
        <w:pStyle w:val="FirstParagraph"/>
      </w:pPr>
      <w:r>
        <w:t xml:space="preserve">Marcus Webb was running change management testing.</w:t>
      </w:r>
    </w:p>
    <w:p>
      <w:pPr>
        <w:pStyle w:val="BodyText"/>
      </w:pPr>
      <w:r>
        <w:t xml:space="preserve">He did the sensible thing first, and it was the wrong thing. He asked the service desk for all change tickets raised in the quarter, and reconciled them to production.</w:t>
      </w:r>
    </w:p>
    <w:p>
      <w:pPr>
        <w:pStyle w:val="BodyText"/>
      </w:pPr>
      <w:r>
        <w:t xml:space="preserve">Everything matched. Every ticket had a transport. Every transport had an approval.</w:t>
      </w:r>
    </w:p>
    <w:p>
      <w:pPr>
        <w:pStyle w:val="BodyText"/>
      </w:pPr>
      <w:r>
        <w:rPr>
          <w:bCs/>
          <w:b/>
        </w:rPr>
        <w:t xml:space="preserve">It matched because he had it backwards.</w:t>
      </w:r>
    </w:p>
    <w:p>
      <w:pPr>
        <w:pStyle w:val="BodyText"/>
      </w:pPr>
      <w:r>
        <w:t xml:space="preserve">Nadia asked him one question:</w:t>
      </w:r>
      <w:r>
        <w:t xml:space="preserve"> </w:t>
      </w:r>
      <w:r>
        <w:rPr>
          <w:iCs/>
          <w:i/>
        </w:rPr>
        <w:t xml:space="preserve">“</w:t>
      </w:r>
      <w:r>
        <w:rPr>
          <w:iCs/>
          <w:i/>
        </w:rPr>
        <w:t xml:space="preserve">If a change went in without a ticket, would it be in the list you just pulled?</w:t>
      </w:r>
      <w:r>
        <w:rPr>
          <w:iCs/>
          <w:i/>
        </w:rPr>
        <w:t xml:space="preserve">”</w:t>
      </w:r>
    </w:p>
    <w:p>
      <w:pPr>
        <w:pStyle w:val="BodyText"/>
      </w:pPr>
      <w:r>
        <w:t xml:space="preserve">It wouldn’t. A ticket list contains the changes that followed the process. The changes he was hunting were the ones with no ticket at all.</w:t>
      </w:r>
    </w:p>
    <w:p>
      <w:pPr>
        <w:pStyle w:val="BodyText"/>
      </w:pPr>
      <w:r>
        <w:t xml:space="preserve">So Marcus pulled the population again — this time from</w:t>
      </w:r>
      <w:r>
        <w:t xml:space="preserve"> </w:t>
      </w:r>
      <w:r>
        <w:rPr>
          <w:bCs/>
          <w:b/>
        </w:rPr>
        <w:t xml:space="preserve">production’s own import history</w:t>
      </w:r>
      <w:r>
        <w:t xml:space="preserve">. Four thousand one hundred and sixteen entries for the quarter. Most of them technical, many with descriptions that meant nothing to him, some from systems he didn’t know Thornfield had.</w:t>
      </w:r>
    </w:p>
    <w:p>
      <w:pPr>
        <w:pStyle w:val="BodyText"/>
      </w:pPr>
      <w:r>
        <w:t xml:space="preserve">He reconciled every one to a ticket.</w:t>
      </w:r>
    </w:p>
    <w:p>
      <w:pPr>
        <w:pStyle w:val="BodyText"/>
      </w:pPr>
      <w:r>
        <w:t xml:space="preserve">Six had none.</w:t>
      </w:r>
    </w:p>
    <w:bookmarkEnd w:id="24"/>
    <w:bookmarkStart w:id="25" w:name="the-retrospective-tickets"/>
    <w:p>
      <w:pPr>
        <w:pStyle w:val="Heading2"/>
      </w:pPr>
      <w:r>
        <w:t xml:space="preserve">The retrospective tickets</w:t>
      </w:r>
    </w:p>
    <w:p>
      <w:pPr>
        <w:pStyle w:val="FirstParagraph"/>
      </w:pPr>
      <w:r>
        <w:t xml:space="preserve">Marcus took it to Ilse. She was straightforward about it — she wasn’t hiding anything and had never intended to.</w:t>
      </w:r>
    </w:p>
    <w:p>
      <w:pPr>
        <w:pStyle w:val="BlockText"/>
      </w:pPr>
      <w:r>
        <w:rPr>
          <w:iCs/>
          <w:i/>
        </w:rPr>
        <w:t xml:space="preserve">“</w:t>
      </w:r>
      <w:r>
        <w:rPr>
          <w:iCs/>
          <w:i/>
        </w:rPr>
        <w:t xml:space="preserve">I raised tickets for all six on the Monday.</w:t>
      </w:r>
      <w:r>
        <w:rPr>
          <w:iCs/>
          <w:i/>
        </w:rPr>
        <w:t xml:space="preserve">”</w:t>
      </w:r>
    </w:p>
    <w:p>
      <w:pPr>
        <w:pStyle w:val="FirstParagraph"/>
      </w:pPr>
      <w:r>
        <w:t xml:space="preserve">And she had. Six tickets, dated the Monday, describing exactly what she’d done on the Saturday and why.</w:t>
      </w:r>
    </w:p>
    <w:p>
      <w:pPr>
        <w:pStyle w:val="BodyText"/>
      </w:pPr>
      <w:r>
        <w:t xml:space="preserve">Marcus’s first reaction was relief. Tickets existed. Problem solved.</w:t>
      </w:r>
    </w:p>
    <w:p>
      <w:pPr>
        <w:pStyle w:val="BodyText"/>
      </w:pPr>
      <w:r>
        <w:rPr>
          <w:bCs/>
          <w:b/>
        </w:rPr>
        <w:t xml:space="preserve">It isn’t.</w:t>
      </w:r>
      <w:r>
        <w:t xml:space="preserve"> </w:t>
      </w:r>
      <w:r>
        <w:t xml:space="preserve">And working out why is most of what this Book teaches.</w:t>
      </w:r>
    </w:p>
    <w:p>
      <w:pPr>
        <w:pStyle w:val="BodyText"/>
      </w:pPr>
      <w:r>
        <w:t xml:space="preserve">A retrospective ticket is documentation created after the fact, by the person who made the change, approved by nobody independent. It’s a useful record. It is not an approval.</w:t>
      </w:r>
    </w:p>
    <w:p>
      <w:pPr>
        <w:pStyle w:val="BodyText"/>
      </w:pPr>
      <w:r>
        <w:t xml:space="preserve">Whether it’s acceptable depends entirely on one thing:</w:t>
      </w:r>
      <w:r>
        <w:t xml:space="preserve"> </w:t>
      </w:r>
      <w:r>
        <w:rPr>
          <w:bCs/>
          <w:b/>
        </w:rPr>
        <w:t xml:space="preserve">does Thornfield have a defined emergency change procedure?</w:t>
      </w:r>
      <w:r>
        <w:t xml:space="preserve"> </w:t>
      </w:r>
      <w:r>
        <w:t xml:space="preserve">One that says what qualifies as an emergency, who can authorise a bypass, how fast retrospective approval must happen, who reviews it, and what evidence is required.</w:t>
      </w:r>
    </w:p>
    <w:p>
      <w:pPr>
        <w:pStyle w:val="BodyText"/>
      </w:pPr>
      <w:r>
        <w:t xml:space="preserve">Thornfield didn’t. And that absence is the actual finding.</w:t>
      </w:r>
    </w:p>
    <w:bookmarkEnd w:id="25"/>
    <w:bookmarkStart w:id="26" w:name="what-was-in-them"/>
    <w:p>
      <w:pPr>
        <w:pStyle w:val="Heading2"/>
      </w:pPr>
      <w:r>
        <w:t xml:space="preserve">What was in them</w:t>
      </w:r>
    </w:p>
    <w:p>
      <w:pPr>
        <w:pStyle w:val="FirstParagraph"/>
      </w:pPr>
      <w:r>
        <w:t xml:space="preserve">Nadia asked Marcus one more question before he wrote anything.</w:t>
      </w:r>
    </w:p>
    <w:p>
      <w:pPr>
        <w:pStyle w:val="BlockText"/>
      </w:pPr>
      <w:r>
        <w:rPr>
          <w:iCs/>
          <w:i/>
        </w:rPr>
        <w:t xml:space="preserve">“</w:t>
      </w:r>
      <w:r>
        <w:rPr>
          <w:iCs/>
          <w:i/>
        </w:rPr>
        <w:t xml:space="preserve">What was in the six transports?</w:t>
      </w:r>
      <w:r>
        <w:rPr>
          <w:iCs/>
          <w:i/>
        </w:rPr>
        <w:t xml:space="preserve">”</w:t>
      </w:r>
    </w:p>
    <w:p>
      <w:pPr>
        <w:pStyle w:val="FirstParagraph"/>
      </w:pPr>
      <w:r>
        <w:t xml:space="preserve">He hadn’t looked.</w:t>
      </w:r>
    </w:p>
    <w:p>
      <w:pPr>
        <w:pStyle w:val="BodyText"/>
      </w:pPr>
      <w:r>
        <w:t xml:space="preserve">He opened each one. Five were exactly what Ilse said — programs and configuration relating to the payment posting run. Legitimate operational fixes.</w:t>
      </w:r>
    </w:p>
    <w:p>
      <w:pPr>
        <w:pStyle w:val="BodyText"/>
      </w:pPr>
      <w:r>
        <w:t xml:space="preserve">The sixth also contained a change to a tolerance parameter in a completely different area. Ilse’s explanation was plausible: it was already sitting in the same transport from earlier work and got carried along.</w:t>
      </w:r>
    </w:p>
    <w:p>
      <w:pPr>
        <w:pStyle w:val="BodyText"/>
      </w:pPr>
      <w:r>
        <w:t xml:space="preserve">Plausible, probably true —</w:t>
      </w:r>
      <w:r>
        <w:t xml:space="preserve"> </w:t>
      </w:r>
      <w:r>
        <w:rPr>
          <w:bCs/>
          <w:b/>
        </w:rPr>
        <w:t xml:space="preserve">and it means the six transports moved something into production that nobody outside Ilse had ever reviewed.</w:t>
      </w:r>
    </w:p>
    <w:p>
      <w:pPr>
        <w:pStyle w:val="BlockText"/>
      </w:pPr>
      <w:r>
        <w:rPr>
          <w:iCs/>
          <w:i/>
        </w:rPr>
        <w:t xml:space="preserve">“</w:t>
      </w:r>
      <w:r>
        <w:rPr>
          <w:iCs/>
          <w:i/>
        </w:rPr>
        <w:t xml:space="preserve">Emergency change</w:t>
      </w:r>
      <w:r>
        <w:rPr>
          <w:iCs/>
          <w:i/>
        </w:rPr>
        <w:t xml:space="preserve">”</w:t>
      </w:r>
      <w:r>
        <w:rPr>
          <w:iCs/>
          <w:i/>
        </w:rPr>
        <w:t xml:space="preserve"> </w:t>
      </w:r>
      <w:r>
        <w:rPr>
          <w:iCs/>
          <w:i/>
        </w:rPr>
        <w:t xml:space="preserve">explains why the process was bypassed. It doesn’t describe what was moved.</w:t>
      </w:r>
    </w:p>
    <w:bookmarkEnd w:id="26"/>
    <w:bookmarkStart w:id="27" w:name="how-it-was-written"/>
    <w:p>
      <w:pPr>
        <w:pStyle w:val="Heading2"/>
      </w:pPr>
      <w:r>
        <w:t xml:space="preserve">How it was written</w:t>
      </w:r>
    </w:p>
    <w:p>
      <w:pPr>
        <w:pStyle w:val="FirstParagraph"/>
      </w:pPr>
      <w:r>
        <w:t xml:space="preserve">Marcus’s finding said three things, in this order.</w:t>
      </w:r>
    </w:p>
    <w:p>
      <w:pPr>
        <w:pStyle w:val="BodyText"/>
      </w:pPr>
      <w:r>
        <w:rPr>
          <w:bCs/>
          <w:b/>
        </w:rPr>
        <w:t xml:space="preserve">One — the magnitude.</w:t>
      </w:r>
      <w:r>
        <w:t xml:space="preserve"> </w:t>
      </w:r>
      <w:r>
        <w:t xml:space="preserve">Six production imports during the quarter had no approved change ticket, all arising from a single out-of-hours incident.</w:t>
      </w:r>
    </w:p>
    <w:p>
      <w:pPr>
        <w:pStyle w:val="BodyText"/>
      </w:pPr>
      <w:r>
        <w:rPr>
          <w:bCs/>
          <w:b/>
        </w:rPr>
        <w:t xml:space="preserve">Two — the root cause.</w:t>
      </w:r>
      <w:r>
        <w:t xml:space="preserve"> </w:t>
      </w:r>
      <w:r>
        <w:t xml:space="preserve">No emergency change procedure exists. There is no defined path for authorised bypass, no requirement for retrospective approval within a window, and no post-implementation review.</w:t>
      </w:r>
    </w:p>
    <w:p>
      <w:pPr>
        <w:pStyle w:val="BodyText"/>
      </w:pPr>
      <w:r>
        <w:rPr>
          <w:bCs/>
          <w:b/>
        </w:rPr>
        <w:t xml:space="preserve">Three — what he did</w:t>
      </w:r>
      <w:r>
        <w:rPr>
          <w:bCs/>
          <w:b/>
        </w:rPr>
        <w:t xml:space="preserve"> </w:t>
      </w:r>
      <w:r>
        <w:rPr>
          <w:iCs/>
          <w:i/>
          <w:bCs/>
          <w:b/>
        </w:rPr>
        <w:t xml:space="preserve">not</w:t>
      </w:r>
      <w:r>
        <w:rPr>
          <w:bCs/>
          <w:b/>
        </w:rPr>
        <w:t xml:space="preserve"> </w:t>
      </w:r>
      <w:r>
        <w:rPr>
          <w:bCs/>
          <w:b/>
        </w:rPr>
        <w:t xml:space="preserve">find.</w:t>
      </w:r>
      <w:r>
        <w:t xml:space="preserve"> </w:t>
      </w:r>
      <w:r>
        <w:t xml:space="preserve">Review of the transport contents identified no unauthorised functional change. One transport contained an unrelated configuration change, explained by management as incidental; the explanation was recorded as given and not independently corroborated.</w:t>
      </w:r>
    </w:p>
    <w:p>
      <w:pPr>
        <w:pStyle w:val="BodyText"/>
      </w:pPr>
      <w:r>
        <w:t xml:space="preserve">And the recommendation was not</w:t>
      </w:r>
      <w:r>
        <w:t xml:space="preserve"> </w:t>
      </w:r>
      <w:r>
        <w:t xml:space="preserve">“</w:t>
      </w:r>
      <w:r>
        <w:t xml:space="preserve">stop making emergency changes.</w:t>
      </w:r>
      <w:r>
        <w:t xml:space="preserve">”</w:t>
      </w:r>
    </w:p>
    <w:p>
      <w:pPr>
        <w:pStyle w:val="BlockText"/>
      </w:pPr>
      <w:r>
        <w:rPr>
          <w:bCs/>
          <w:b/>
        </w:rPr>
        <w:t xml:space="preserve">Build the process that makes an emergency change auditable after the fact.</w:t>
      </w:r>
    </w:p>
    <w:bookmarkEnd w:id="27"/>
    <w:bookmarkStart w:id="28" w:name="the-line-that-mattered"/>
    <w:p>
      <w:pPr>
        <w:pStyle w:val="Heading2"/>
      </w:pPr>
      <w:r>
        <w:t xml:space="preserve">The line that mattered</w:t>
      </w:r>
    </w:p>
    <w:p>
      <w:pPr>
        <w:pStyle w:val="FirstParagraph"/>
      </w:pPr>
      <w:r>
        <w:t xml:space="preserve">Nadia said this to Marcus while he was drafting, and it’s worth carrying:</w:t>
      </w:r>
    </w:p>
    <w:p>
      <w:pPr>
        <w:pStyle w:val="BlockText"/>
      </w:pPr>
      <w:r>
        <w:rPr>
          <w:iCs/>
          <w:i/>
        </w:rPr>
        <w:t xml:space="preserve">“</w:t>
      </w:r>
      <w:r>
        <w:rPr>
          <w:iCs/>
          <w:i/>
        </w:rPr>
        <w:t xml:space="preserve">If your remediation would have caused the outage, it’s a bad remediation.</w:t>
      </w:r>
      <w:r>
        <w:rPr>
          <w:iCs/>
          <w:i/>
        </w:rPr>
        <w:t xml:space="preserve">”</w:t>
      </w:r>
    </w:p>
    <w:p>
      <w:pPr>
        <w:pStyle w:val="FirstParagraph"/>
      </w:pPr>
      <w:r>
        <w:t xml:space="preserve">Ilse prevented a business failure. Had she refused and waited for Tuesday’s board, the finding would have been different and arguably worse.</w:t>
      </w:r>
      <w:r>
        <w:t xml:space="preserve"> </w:t>
      </w:r>
      <w:r>
        <w:rPr>
          <w:bCs/>
          <w:b/>
        </w:rPr>
        <w:t xml:space="preserve">Nobody in this story is a villain.</w:t>
      </w:r>
      <w:r>
        <w:t xml:space="preserve"> </w:t>
      </w:r>
      <w:r>
        <w:t xml:space="preserve">The deficiency is a missing process, not a bad decision.</w:t>
      </w:r>
    </w:p>
    <w:p>
      <w:r>
        <w:pict>
          <v:rect style="width:0;height:1.5pt" o:hralign="center" o:hrstd="t" o:hr="t"/>
        </w:pict>
      </w:r>
    </w:p>
    <w:bookmarkEnd w:id="28"/>
    <w:bookmarkStart w:id="29" w:name="what-to-notice"/>
    <w:p>
      <w:pPr>
        <w:pStyle w:val="Heading2"/>
      </w:pPr>
      <w:r>
        <w:t xml:space="preserve">What to notice</w:t>
      </w:r>
    </w:p>
    <w:p>
      <w:pPr>
        <w:pStyle w:val="FirstParagraph"/>
      </w:pPr>
      <w:r>
        <w:rPr>
          <w:bCs/>
          <w:b/>
        </w:rPr>
        <w:t xml:space="preserve">1. The first population was wrong, and it looked right.</w:t>
      </w:r>
      <w:r>
        <w:t xml:space="preserve"> </w:t>
      </w:r>
      <w:r>
        <w:t xml:space="preserve">Ticket-first reconciliation matches perfectly, every time, because both sides come from the same source. A test that can’t fail isn’t a test.</w:t>
      </w:r>
    </w:p>
    <w:p>
      <w:pPr>
        <w:pStyle w:val="BodyText"/>
      </w:pPr>
      <w:r>
        <w:rPr>
          <w:bCs/>
          <w:b/>
        </w:rPr>
        <w:t xml:space="preserve">2. The population comes from the system, the comparison comes from the process.</w:t>
      </w:r>
      <w:r>
        <w:t xml:space="preserve"> </w:t>
      </w:r>
      <w:r>
        <w:t xml:space="preserve">Never the other way round. Production’s import history exists whether anyone wanted it to or not.</w:t>
      </w:r>
    </w:p>
    <w:p>
      <w:pPr>
        <w:pStyle w:val="BodyText"/>
      </w:pPr>
      <w:r>
        <w:rPr>
          <w:bCs/>
          <w:b/>
        </w:rPr>
        <w:t xml:space="preserve">3. Retrospective documentation is not approval.</w:t>
      </w:r>
      <w:r>
        <w:t xml:space="preserve"> </w:t>
      </w:r>
      <w:r>
        <w:t xml:space="preserve">It might be acceptable — but only if a procedure exists that says under what conditions it is.</w:t>
      </w:r>
    </w:p>
    <w:p>
      <w:pPr>
        <w:pStyle w:val="BodyText"/>
      </w:pPr>
      <w:r>
        <w:rPr>
          <w:bCs/>
          <w:b/>
        </w:rPr>
        <w:t xml:space="preserve">4. Nobody looked inside the transports.</w:t>
      </w:r>
      <w:r>
        <w:t xml:space="preserve"> </w:t>
      </w:r>
      <w:r>
        <w:t xml:space="preserve">Six changes, and the natural question —</w:t>
      </w:r>
      <w:r>
        <w:t xml:space="preserve"> </w:t>
      </w:r>
      <w:r>
        <w:rPr>
          <w:iCs/>
          <w:i/>
        </w:rPr>
        <w:t xml:space="preserve">what was actually in them?</w:t>
      </w:r>
      <w:r>
        <w:t xml:space="preserve"> </w:t>
      </w:r>
      <w:r>
        <w:t xml:space="preserve">— went unasked until Nadia asked it.</w:t>
      </w:r>
    </w:p>
    <w:p>
      <w:pPr>
        <w:pStyle w:val="BodyText"/>
      </w:pPr>
      <w:r>
        <w:rPr>
          <w:bCs/>
          <w:b/>
        </w:rPr>
        <w:t xml:space="preserve">5. The finding says what wasn’t found.</w:t>
      </w:r>
      <w:r>
        <w:t xml:space="preserve"> </w:t>
      </w:r>
      <w:r>
        <w:t xml:space="preserve">A finding that omits the mitigating fact reads as sloppy or slanted. Both cost you the process owner you now need on your side.</w:t>
      </w:r>
    </w:p>
    <w:bookmarkEnd w:id="29"/>
    <w:bookmarkStart w:id="30" w:name="the-question-to-bring-to-class"/>
    <w:p>
      <w:pPr>
        <w:pStyle w:val="Heading2"/>
      </w:pPr>
      <w:r>
        <w:t xml:space="preserve">The question to bring to class</w:t>
      </w:r>
    </w:p>
    <w:p>
      <w:pPr>
        <w:pStyle w:val="FirstParagraph"/>
      </w:pPr>
      <w:r>
        <w:rPr>
          <w:bCs/>
          <w:b/>
        </w:rPr>
        <w:t xml:space="preserve">If a change went into production without approval, where would the evidence of that even live?</w:t>
      </w:r>
    </w:p>
    <w:p>
      <w:pPr>
        <w:pStyle w:val="BodyText"/>
      </w:pPr>
      <w:r>
        <w:t xml:space="preserve">Come with an answer. It doesn’t have to be right — the point is to have thought about it before someone tells you.</w:t>
      </w:r>
    </w:p>
    <w:p>
      <w:r>
        <w:pict>
          <v:rect style="width:0;height:1.5pt" o:hralign="center" o:hrstd="t" o:hr="t"/>
        </w:pict>
      </w:r>
    </w:p>
    <w:bookmarkEnd w:id="30"/>
    <w:bookmarkEnd w:id="31"/>
    <w:bookmarkStart w:id="39" w:name="the-other-seven-module-2-books-in-brief"/>
    <w:p>
      <w:pPr>
        <w:pStyle w:val="Heading1"/>
      </w:pPr>
      <w:r>
        <w:t xml:space="preserve">The other seven Module 2 Books, in brief</w:t>
      </w:r>
    </w:p>
    <w:p>
      <w:r>
        <w:pict>
          <v:rect style="width:0;height:1.5pt" o:hralign="center" o:hrstd="t" o:hr="t"/>
        </w:pict>
      </w:r>
    </w:p>
    <w:bookmarkStart w:id="32" w:name="book-5-the-cutover"/>
    <w:p>
      <w:pPr>
        <w:pStyle w:val="Heading2"/>
      </w:pPr>
      <w:r>
        <w:t xml:space="preserve">BOOK 5 — THE CUTOVER</w:t>
      </w:r>
    </w:p>
    <w:p>
      <w:pPr>
        <w:pStyle w:val="FirstParagraph"/>
      </w:pPr>
      <w:r>
        <w:rPr>
          <w:bCs/>
          <w:b/>
        </w:rPr>
        <w:t xml:space="preserve">Change management · upgrade volume</w:t>
      </w:r>
    </w:p>
    <w:p>
      <w:pPr>
        <w:pStyle w:val="BodyText"/>
      </w:pPr>
      <w:r>
        <w:t xml:space="preserve">A full system upgrade weekend puts</w:t>
      </w:r>
      <w:r>
        <w:t xml:space="preserve"> </w:t>
      </w:r>
      <w:r>
        <w:rPr>
          <w:bCs/>
          <w:b/>
        </w:rPr>
        <w:t xml:space="preserve">218 changes through in 72 hours</w:t>
      </w:r>
      <w:r>
        <w:t xml:space="preserve">.</w:t>
      </w:r>
    </w:p>
    <w:p>
      <w:pPr>
        <w:pStyle w:val="BodyText"/>
      </w:pPr>
      <w:r>
        <w:t xml:space="preserve">Your normal change management test assumes changes arrive at a rate a human approval process can handle. A cutover breaks that assumption completely.</w:t>
      </w:r>
    </w:p>
    <w:p>
      <w:pPr>
        <w:pStyle w:val="BodyText"/>
      </w:pPr>
      <w:r>
        <w:rPr>
          <w:bCs/>
          <w:b/>
        </w:rPr>
        <w:t xml:space="preserve">What’s different:</w:t>
      </w:r>
      <w:r>
        <w:t xml:space="preserve"> </w:t>
      </w:r>
      <w:r>
        <w:t xml:space="preserve">it’s about</w:t>
      </w:r>
      <w:r>
        <w:t xml:space="preserve"> </w:t>
      </w:r>
      <w:r>
        <w:rPr>
          <w:bCs/>
          <w:b/>
        </w:rPr>
        <w:t xml:space="preserve">volume and compression</w:t>
      </w:r>
      <w:r>
        <w:t xml:space="preserve">. Asking</w:t>
      </w:r>
      <w:r>
        <w:t xml:space="preserve"> </w:t>
      </w:r>
      <w:r>
        <w:t xml:space="preserve">“</w:t>
      </w:r>
      <w:r>
        <w:t xml:space="preserve">was each of 218 changes individually approved?</w:t>
      </w:r>
      <w:r>
        <w:t xml:space="preserve">”</w:t>
      </w:r>
      <w:r>
        <w:t xml:space="preserve"> </w:t>
      </w:r>
      <w:r>
        <w:t xml:space="preserve">is usually the wrong question — they were often approved as a bundle, entirely legitimately.</w:t>
      </w:r>
    </w:p>
    <w:p>
      <w:pPr>
        <w:pStyle w:val="BodyText"/>
      </w:pPr>
      <w:r>
        <w:rPr>
          <w:bCs/>
          <w:b/>
        </w:rPr>
        <w:t xml:space="preserve">Remember:</w:t>
      </w:r>
      <w:r>
        <w:t xml:space="preserve"> </w:t>
      </w:r>
      <w:r>
        <w:t xml:space="preserve">the right questions are what the approval unit was, whether it was appropriate to the risk, and whether there was a defined go/no-go decision with a named person accountable for it.</w:t>
      </w:r>
    </w:p>
    <w:p>
      <w:r>
        <w:pict>
          <v:rect style="width:0;height:1.5pt" o:hralign="center" o:hrstd="t" o:hr="t"/>
        </w:pict>
      </w:r>
    </w:p>
    <w:bookmarkEnd w:id="32"/>
    <w:bookmarkStart w:id="33" w:name="book-8-the-third-party"/>
    <w:p>
      <w:pPr>
        <w:pStyle w:val="Heading2"/>
      </w:pPr>
      <w:r>
        <w:t xml:space="preserve">BOOK 8 — THE THIRD PARTY</w:t>
      </w:r>
    </w:p>
    <w:p>
      <w:pPr>
        <w:pStyle w:val="FirstParagraph"/>
      </w:pPr>
      <w:r>
        <w:rPr>
          <w:bCs/>
          <w:b/>
        </w:rPr>
        <w:t xml:space="preserve">Change management · outsourced control</w:t>
      </w:r>
    </w:p>
    <w:p>
      <w:pPr>
        <w:pStyle w:val="BodyText"/>
      </w:pPr>
      <w:r>
        <w:t xml:space="preserve">Cost pressure moves transport execution to an external vendor.</w:t>
      </w:r>
      <w:r>
        <w:t xml:space="preserve"> </w:t>
      </w:r>
      <w:r>
        <w:rPr>
          <w:bCs/>
          <w:b/>
        </w:rPr>
        <w:t xml:space="preserve">Whose evidence is it now?</w:t>
      </w:r>
    </w:p>
    <w:p>
      <w:pPr>
        <w:pStyle w:val="BodyText"/>
      </w:pPr>
      <w:r>
        <w:rPr>
          <w:bCs/>
          <w:b/>
        </w:rPr>
        <w:t xml:space="preserve">What’s different:</w:t>
      </w:r>
      <w:r>
        <w:t xml:space="preserve"> </w:t>
      </w:r>
      <w:r>
        <w:t xml:space="preserve">this is about</w:t>
      </w:r>
      <w:r>
        <w:t xml:space="preserve"> </w:t>
      </w:r>
      <w:r>
        <w:rPr>
          <w:bCs/>
          <w:b/>
        </w:rPr>
        <w:t xml:space="preserve">evidence custody</w:t>
      </w:r>
      <w:r>
        <w:t xml:space="preserve">. When a third party performs a control,</w:t>
      </w:r>
      <w:r>
        <w:t xml:space="preserve"> </w:t>
      </w:r>
      <w:r>
        <w:t xml:space="preserve">“</w:t>
      </w:r>
      <w:r>
        <w:t xml:space="preserve">the vendor does it</w:t>
      </w:r>
      <w:r>
        <w:t xml:space="preserve">”</w:t>
      </w:r>
      <w:r>
        <w:t xml:space="preserve"> </w:t>
      </w:r>
      <w:r>
        <w:t xml:space="preserve">is not an answer. Either you obtain and test their evidence directly, or you rely on an independent assurance report over their controls — a SOC 1 Type II — and then test the complementary controls that report assumes</w:t>
      </w:r>
      <w:r>
        <w:t xml:space="preserve"> </w:t>
      </w:r>
      <w:r>
        <w:rPr>
          <w:iCs/>
          <w:i/>
        </w:rPr>
        <w:t xml:space="preserve">you</w:t>
      </w:r>
      <w:r>
        <w:t xml:space="preserve"> </w:t>
      </w:r>
      <w:r>
        <w:t xml:space="preserve">are performing.</w:t>
      </w:r>
    </w:p>
    <w:p>
      <w:pPr>
        <w:pStyle w:val="BodyText"/>
      </w:pPr>
      <w:r>
        <w:rPr>
          <w:bCs/>
          <w:b/>
        </w:rPr>
        <w:t xml:space="preserve">Remember:</w:t>
      </w:r>
      <w:r>
        <w:t xml:space="preserve"> </w:t>
      </w:r>
      <w:r>
        <w:t xml:space="preserve">“</w:t>
      </w:r>
      <w:r>
        <w:t xml:space="preserve">the vendor does it</w:t>
      </w:r>
      <w:r>
        <w:t xml:space="preserve">”</w:t>
      </w:r>
      <w:r>
        <w:t xml:space="preserve"> </w:t>
      </w:r>
      <w:r>
        <w:t xml:space="preserve">is never the end of a conversation. It’s the start of a different one.</w:t>
      </w:r>
    </w:p>
    <w:p>
      <w:r>
        <w:pict>
          <v:rect style="width:0;height:1.5pt" o:hralign="center" o:hrstd="t" o:hr="t"/>
        </w:pict>
      </w:r>
    </w:p>
    <w:bookmarkEnd w:id="33"/>
    <w:bookmarkStart w:id="34" w:name="book-18-the-untested-backup"/>
    <w:p>
      <w:pPr>
        <w:pStyle w:val="Heading2"/>
      </w:pPr>
      <w:r>
        <w:t xml:space="preserve">BOOK 18 — THE UNTESTED BACKUP</w:t>
      </w:r>
    </w:p>
    <w:p>
      <w:pPr>
        <w:pStyle w:val="FirstParagraph"/>
      </w:pPr>
      <w:r>
        <w:rPr>
          <w:bCs/>
          <w:b/>
        </w:rPr>
        <w:t xml:space="preserve">Computer operations · recovery</w:t>
      </w:r>
      <w:r>
        <w:t xml:space="preserve"> </w:t>
      </w:r>
      <w:r>
        <w:rPr>
          <w:iCs/>
          <w:i/>
        </w:rPr>
        <w:t xml:space="preserve">(anchor — covered at depth on Wednesday)</w:t>
      </w:r>
    </w:p>
    <w:p>
      <w:pPr>
        <w:pStyle w:val="BodyText"/>
      </w:pPr>
      <w:r>
        <w:rPr>
          <w:bCs/>
          <w:b/>
        </w:rPr>
        <w:t xml:space="preserve">364 clean backup reports. Zero times anyone actually restored one.</w:t>
      </w:r>
    </w:p>
    <w:p>
      <w:pPr>
        <w:pStyle w:val="BodyText"/>
      </w:pPr>
      <w:r>
        <w:t xml:space="preserve">Imagine you’re the junior. You request the backup evidence. You get 364 completion reports, all successful. You sample twenty-five. All successful. You write</w:t>
      </w:r>
      <w:r>
        <w:t xml:space="preserve"> </w:t>
      </w:r>
      <w:r>
        <w:t xml:space="preserve">“</w:t>
      </w:r>
      <w:r>
        <w:t xml:space="preserve">no exceptions noted</w:t>
      </w:r>
      <w:r>
        <w:t xml:space="preserve">”</w:t>
      </w:r>
      <w:r>
        <w:t xml:space="preserve"> </w:t>
      </w:r>
      <w:r>
        <w:t xml:space="preserve">and move on.</w:t>
      </w:r>
    </w:p>
    <w:p>
      <w:pPr>
        <w:pStyle w:val="BodyText"/>
      </w:pPr>
      <w:r>
        <w:t xml:space="preserve">You’re wrong, and your workpaper is beautiful.</w:t>
      </w:r>
    </w:p>
    <w:p>
      <w:pPr>
        <w:pStyle w:val="BodyText"/>
      </w:pPr>
      <w:r>
        <w:rPr>
          <w:bCs/>
          <w:b/>
        </w:rPr>
        <w:t xml:space="preserve">What’s different:</w:t>
      </w:r>
      <w:r>
        <w:t xml:space="preserve"> </w:t>
      </w:r>
      <w:r>
        <w:t xml:space="preserve">the control</w:t>
      </w:r>
      <w:r>
        <w:t xml:space="preserve"> </w:t>
      </w:r>
      <w:r>
        <w:rPr>
          <w:bCs/>
          <w:b/>
        </w:rPr>
        <w:t xml:space="preserve">as designed cannot achieve its objective</w:t>
      </w:r>
      <w:r>
        <w:t xml:space="preserve">. The process is about backups completing. The objective is about restoration succeeding. The finding sits in the gap between those two sentences — and you can find it before pulling a single sample.</w:t>
      </w:r>
    </w:p>
    <w:p>
      <w:pPr>
        <w:pStyle w:val="BodyText"/>
      </w:pPr>
      <w:r>
        <w:rPr>
          <w:bCs/>
          <w:b/>
        </w:rPr>
        <w:t xml:space="preserve">Remember:</w:t>
      </w:r>
      <w:r>
        <w:t xml:space="preserve"> </w:t>
      </w:r>
      <w:r>
        <w:t xml:space="preserve">the only evidence that a backup is usable is having used one. And 365 nights in a year. Not 364.</w:t>
      </w:r>
    </w:p>
    <w:p>
      <w:r>
        <w:pict>
          <v:rect style="width:0;height:1.5pt" o:hralign="center" o:hrstd="t" o:hr="t"/>
        </w:pict>
      </w:r>
    </w:p>
    <w:bookmarkEnd w:id="34"/>
    <w:bookmarkStart w:id="35" w:name="book-19-the-interface-gap"/>
    <w:p>
      <w:pPr>
        <w:pStyle w:val="Heading2"/>
      </w:pPr>
      <w:r>
        <w:t xml:space="preserve">BOOK 19 — THE INTERFACE GAP</w:t>
      </w:r>
    </w:p>
    <w:p>
      <w:pPr>
        <w:pStyle w:val="FirstParagraph"/>
      </w:pPr>
      <w:r>
        <w:rPr>
          <w:bCs/>
          <w:b/>
        </w:rPr>
        <w:t xml:space="preserve">Interfaces and data conversion</w:t>
      </w:r>
      <w:r>
        <w:t xml:space="preserve"> </w:t>
      </w:r>
      <w:r>
        <w:rPr>
          <w:iCs/>
          <w:i/>
        </w:rPr>
        <w:t xml:space="preserve">(anchor — covered at depth on Wednesday)</w:t>
      </w:r>
    </w:p>
    <w:p>
      <w:pPr>
        <w:pStyle w:val="BodyText"/>
      </w:pPr>
      <w:r>
        <w:rPr>
          <w:bCs/>
          <w:b/>
        </w:rPr>
        <w:t xml:space="preserve">Fourteen units exist in the warehouse system and nowhere in SAP at all.</w:t>
      </w:r>
    </w:p>
    <w:p>
      <w:pPr>
        <w:pStyle w:val="BodyText"/>
      </w:pPr>
      <w:r>
        <w:t xml:space="preserve">Almost no company runs everything in SAP. There’s a warehouse system, a payroll bureau, a bank, a treasury platform. Data flows between them constantly, automatically, at night, through mechanisms nobody in finance has ever looked at.</w:t>
      </w:r>
    </w:p>
    <w:p>
      <w:pPr>
        <w:pStyle w:val="BodyText"/>
      </w:pPr>
      <w:r>
        <w:t xml:space="preserve">When a message fails in transit, the sending system thinks it sent, the receiving system never knew to expect it, and</w:t>
      </w:r>
      <w:r>
        <w:t xml:space="preserve"> </w:t>
      </w:r>
      <w:r>
        <w:rPr>
          <w:bCs/>
          <w:b/>
        </w:rPr>
        <w:t xml:space="preserve">the number is simply wrong — with no error on anyone’s screen.</w:t>
      </w:r>
    </w:p>
    <w:p>
      <w:pPr>
        <w:pStyle w:val="BodyText"/>
      </w:pPr>
      <w:r>
        <w:rPr>
          <w:bCs/>
          <w:b/>
        </w:rPr>
        <w:t xml:space="preserve">What’s different:</w:t>
      </w:r>
      <w:r>
        <w:t xml:space="preserve"> </w:t>
      </w:r>
      <w:r>
        <w:t xml:space="preserve">a message that never arrived in SAP does not appear in SAP. It has no document number. There’s no screen that lists it.</w:t>
      </w:r>
    </w:p>
    <w:p>
      <w:pPr>
        <w:pStyle w:val="BodyText"/>
      </w:pPr>
      <w:r>
        <w:rPr>
          <w:bCs/>
          <w:b/>
        </w:rPr>
        <w:t xml:space="preserve">Remember:</w:t>
      </w:r>
      <w:r>
        <w:t xml:space="preserve"> </w:t>
      </w:r>
      <w:r>
        <w:t xml:space="preserve">the population comes from the</w:t>
      </w:r>
      <w:r>
        <w:t xml:space="preserve"> </w:t>
      </w:r>
      <w:r>
        <w:rPr>
          <w:bCs/>
          <w:b/>
        </w:rPr>
        <w:t xml:space="preserve">source system’s transmitted count</w:t>
      </w:r>
      <w:r>
        <w:t xml:space="preserve">. SAP is the other side of the reconciliation.</w:t>
      </w:r>
    </w:p>
    <w:p>
      <w:r>
        <w:pict>
          <v:rect style="width:0;height:1.5pt" o:hralign="center" o:hrstd="t" o:hr="t"/>
        </w:pict>
      </w:r>
    </w:p>
    <w:bookmarkEnd w:id="35"/>
    <w:bookmarkStart w:id="36" w:name="book-20-the-back-door"/>
    <w:p>
      <w:pPr>
        <w:pStyle w:val="Heading2"/>
      </w:pPr>
      <w:r>
        <w:t xml:space="preserve">BOOK 20 — THE BACK DOOR</w:t>
      </w:r>
    </w:p>
    <w:p>
      <w:pPr>
        <w:pStyle w:val="FirstParagraph"/>
      </w:pPr>
      <w:r>
        <w:rPr>
          <w:bCs/>
          <w:b/>
        </w:rPr>
        <w:t xml:space="preserve">Change · custom code</w:t>
      </w:r>
    </w:p>
    <w:p>
      <w:pPr>
        <w:pStyle w:val="BodyText"/>
      </w:pPr>
      <w:r>
        <w:t xml:space="preserve">A custom transaction, written four years ago by a developer who has since left, quietly skips the standard authorization check.</w:t>
      </w:r>
    </w:p>
    <w:p>
      <w:pPr>
        <w:pStyle w:val="BodyText"/>
      </w:pPr>
      <w:r>
        <w:t xml:space="preserve">Every access test Thornfield runs comes back clean — because those tests look at standard transactions, and this isn’t one.</w:t>
      </w:r>
    </w:p>
    <w:p>
      <w:pPr>
        <w:pStyle w:val="BodyText"/>
      </w:pPr>
      <w:r>
        <w:rPr>
          <w:bCs/>
          <w:b/>
        </w:rPr>
        <w:t xml:space="preserve">What’s different:</w:t>
      </w:r>
      <w:r>
        <w:t xml:space="preserve"> </w:t>
      </w:r>
      <w:r>
        <w:rPr>
          <w:bCs/>
          <w:b/>
        </w:rPr>
        <w:t xml:space="preserve">custom code isn’t covered by standard controls.</w:t>
      </w:r>
      <w:r>
        <w:t xml:space="preserve"> </w:t>
      </w:r>
      <w:r>
        <w:t xml:space="preserve">Either the developer didn’t code an authorization check, or the check proposals were never maintained. Your report is clean because your report can’t see it.</w:t>
      </w:r>
    </w:p>
    <w:p>
      <w:pPr>
        <w:pStyle w:val="BodyText"/>
      </w:pPr>
      <w:r>
        <w:rPr>
          <w:bCs/>
          <w:b/>
        </w:rPr>
        <w:t xml:space="preserve">Why it sits in this module rather than with access.</w:t>
      </w:r>
      <w:r>
        <w:t xml:space="preserve"> </w:t>
      </w:r>
      <w:r>
        <w:t xml:space="preserve">The symptom is an access failure. The cause is a change and development control that never required an authorization check to be built or reviewed. You fix it in change management, not in role design.</w:t>
      </w:r>
    </w:p>
    <w:p>
      <w:pPr>
        <w:pStyle w:val="BodyText"/>
      </w:pPr>
      <w:r>
        <w:rPr>
          <w:bCs/>
          <w:b/>
        </w:rPr>
        <w:t xml:space="preserve">Remember:</w:t>
      </w:r>
      <w:r>
        <w:t xml:space="preserve"> </w:t>
      </w:r>
      <w:r>
        <w:t xml:space="preserve">a clean access report tells you about the transactions it looked at. Ask what it didn’t look at.</w:t>
      </w:r>
    </w:p>
    <w:p>
      <w:r>
        <w:pict>
          <v:rect style="width:0;height:1.5pt" o:hralign="center" o:hrstd="t" o:hr="t"/>
        </w:pict>
      </w:r>
    </w:p>
    <w:bookmarkEnd w:id="36"/>
    <w:bookmarkStart w:id="37" w:name="book-21-the-retention-policy"/>
    <w:p>
      <w:pPr>
        <w:pStyle w:val="Heading2"/>
      </w:pPr>
      <w:r>
        <w:t xml:space="preserve">BOOK 21 — THE RETENTION POLICY</w:t>
      </w:r>
    </w:p>
    <w:p>
      <w:pPr>
        <w:pStyle w:val="FirstParagraph"/>
      </w:pPr>
      <w:r>
        <w:rPr>
          <w:bCs/>
          <w:b/>
        </w:rPr>
        <w:t xml:space="preserve">Data privacy · retention</w:t>
      </w:r>
    </w:p>
    <w:p>
      <w:pPr>
        <w:pStyle w:val="BodyText"/>
      </w:pPr>
      <w:r>
        <w:t xml:space="preserve">A well-written data retention policy. Approved, published, reviewed annually. And connected to nothing that actually enforces it.</w:t>
      </w:r>
    </w:p>
    <w:p>
      <w:pPr>
        <w:pStyle w:val="BodyText"/>
      </w:pPr>
      <w:r>
        <w:rPr>
          <w:bCs/>
          <w:b/>
        </w:rPr>
        <w:t xml:space="preserve">What’s different:</w:t>
      </w:r>
      <w:r>
        <w:t xml:space="preserve"> </w:t>
      </w:r>
      <w:r>
        <w:t xml:space="preserve">this is</w:t>
      </w:r>
      <w:r>
        <w:t xml:space="preserve"> </w:t>
      </w:r>
      <w:r>
        <w:rPr>
          <w:bCs/>
          <w:b/>
        </w:rPr>
        <w:t xml:space="preserve">policy versus enforcement</w:t>
      </w:r>
      <w:r>
        <w:t xml:space="preserve">, and it’s a pattern you’ll meet everywhere.</w:t>
      </w:r>
      <w:r>
        <w:t xml:space="preserve"> </w:t>
      </w:r>
      <w:r>
        <w:rPr>
          <w:bCs/>
          <w:b/>
        </w:rPr>
        <w:t xml:space="preserve">A document is not a control.</w:t>
      </w:r>
      <w:r>
        <w:t xml:space="preserve"> </w:t>
      </w:r>
      <w:r>
        <w:t xml:space="preserve">The test isn’t</w:t>
      </w:r>
      <w:r>
        <w:t xml:space="preserve"> </w:t>
      </w:r>
      <w:r>
        <w:t xml:space="preserve">“</w:t>
      </w:r>
      <w:r>
        <w:t xml:space="preserve">does a policy exist.</w:t>
      </w:r>
      <w:r>
        <w:t xml:space="preserve">”</w:t>
      </w:r>
      <w:r>
        <w:t xml:space="preserve"> </w:t>
      </w:r>
      <w:r>
        <w:t xml:space="preserve">It’s</w:t>
      </w:r>
      <w:r>
        <w:t xml:space="preserve"> </w:t>
      </w:r>
      <w:r>
        <w:t xml:space="preserve">“</w:t>
      </w:r>
      <w:r>
        <w:t xml:space="preserve">what mechanism enforces it, and what does that mechanism produce that I could look at?</w:t>
      </w:r>
      <w:r>
        <w:t xml:space="preserve">”</w:t>
      </w:r>
    </w:p>
    <w:p>
      <w:pPr>
        <w:pStyle w:val="BodyText"/>
      </w:pPr>
      <w:r>
        <w:rPr>
          <w:bCs/>
          <w:b/>
        </w:rPr>
        <w:t xml:space="preserve">Remember:</w:t>
      </w:r>
      <w:r>
        <w:t xml:space="preserve"> </w:t>
      </w:r>
      <w:r>
        <w:t xml:space="preserve">this one carries exposure beyond financial reporting. Privacy regulators fine. The finding may need to go to Legal, not just Finance.</w:t>
      </w:r>
    </w:p>
    <w:p>
      <w:r>
        <w:pict>
          <v:rect style="width:0;height:1.5pt" o:hralign="center" o:hrstd="t" o:hr="t"/>
        </w:pict>
      </w:r>
    </w:p>
    <w:bookmarkEnd w:id="37"/>
    <w:bookmarkStart w:id="38" w:name="book-22-the-indirect-access"/>
    <w:p>
      <w:pPr>
        <w:pStyle w:val="Heading2"/>
      </w:pPr>
      <w:r>
        <w:t xml:space="preserve">BOOK 22 — THE INDIRECT ACCESS</w:t>
      </w:r>
    </w:p>
    <w:p>
      <w:pPr>
        <w:pStyle w:val="FirstParagraph"/>
      </w:pPr>
      <w:r>
        <w:rPr>
          <w:bCs/>
          <w:b/>
        </w:rPr>
        <w:t xml:space="preserve">Licensing · indirect use</w:t>
      </w:r>
    </w:p>
    <w:p>
      <w:pPr>
        <w:pStyle w:val="BodyText"/>
      </w:pPr>
      <w:r>
        <w:t xml:space="preserve">Forty percent of Thornfield’s sales orders reach SAP with no named user behind them — created by other systems, through automated connections, with no licence evaluation ever performed.</w:t>
      </w:r>
    </w:p>
    <w:p>
      <w:pPr>
        <w:pStyle w:val="BodyText"/>
      </w:pPr>
      <w:r>
        <w:rPr>
          <w:bCs/>
          <w:b/>
        </w:rPr>
        <w:t xml:space="preserve">What’s different:</w:t>
      </w:r>
      <w:r>
        <w:t xml:space="preserve"> </w:t>
      </w:r>
      <w:r>
        <w:t xml:space="preserve">this isn’t a financial reporting control at all. It’s a</w:t>
      </w:r>
      <w:r>
        <w:t xml:space="preserve"> </w:t>
      </w:r>
      <w:r>
        <w:rPr>
          <w:bCs/>
          <w:b/>
        </w:rPr>
        <w:t xml:space="preserve">contractual and commercial exposure</w:t>
      </w:r>
      <w:r>
        <w:t xml:space="preserve"> </w:t>
      </w:r>
      <w:r>
        <w:t xml:space="preserve">that can crystallise as a very large unbudgeted liability.</w:t>
      </w:r>
    </w:p>
    <w:p>
      <w:pPr>
        <w:pStyle w:val="BodyText"/>
      </w:pPr>
      <w:r>
        <w:t xml:space="preserve">It teaches a real professional lesson: sometimes the most valuable thing you find is outside the scope you were engaged for. You still raise it — through your Senior, to the right person, as a risk to be assessed rather than a finding to be reported.</w:t>
      </w:r>
    </w:p>
    <w:p>
      <w:pPr>
        <w:pStyle w:val="BodyText"/>
      </w:pPr>
      <w:r>
        <w:rPr>
          <w:bCs/>
          <w:b/>
        </w:rPr>
        <w:t xml:space="preserve">Remember:</w:t>
      </w:r>
      <w:r>
        <w:t xml:space="preserve"> </w:t>
      </w:r>
      <w:r>
        <w:t xml:space="preserve">scope tells you what you were asked to look at. It doesn’t tell you what to do when you see something else.</w:t>
      </w:r>
    </w:p>
    <w:p>
      <w:r>
        <w:pict>
          <v:rect style="width:0;height:1.5pt" o:hralign="center" o:hrstd="t" o:hr="t"/>
        </w:pict>
      </w:r>
    </w:p>
    <w:bookmarkEnd w:id="38"/>
    <w:bookmarkEnd w:id="39"/>
    <w:bookmarkStart w:id="40" w:name="where-these-books-live-in-the-app"/>
    <w:p>
      <w:pPr>
        <w:pStyle w:val="Heading1"/>
      </w:pPr>
      <w:r>
        <w:t xml:space="preserve">Where these Books live in the app</w:t>
      </w:r>
    </w:p>
    <w:p>
      <w:pPr>
        <w:pStyle w:val="FirstParagraph"/>
      </w:pPr>
      <w:r>
        <w:t xml:space="preserve">Module 2 spans</w:t>
      </w:r>
      <w:r>
        <w:t xml:space="preserve"> </w:t>
      </w:r>
      <w:r>
        <w:rPr>
          <w:bCs/>
          <w:b/>
        </w:rPr>
        <w:t xml:space="preserve">two</w:t>
      </w:r>
      <w:r>
        <w:t xml:space="preserve"> </w:t>
      </w:r>
      <w:r>
        <w:t xml:space="preserve">of the app’s Parts.</w:t>
      </w:r>
    </w:p>
    <w:p>
      <w:pPr>
        <w:pStyle w:val="BodyText"/>
      </w:pPr>
      <w:r>
        <w:rPr>
          <w:bCs/>
          <w:b/>
        </w:rPr>
        <w:t xml:space="preserve">Part II — IT General Controls: Change &amp; Operations</w:t>
      </w:r>
      <w:r>
        <w:t xml:space="preserve"> </w:t>
      </w:r>
      <w:r>
        <w:t xml:space="preserve">holds Books 02, 05, 08, 18, 19 and 20.</w:t>
      </w:r>
    </w:p>
    <w:p>
      <w:pPr>
        <w:pStyle w:val="BodyText"/>
      </w:pPr>
      <w:r>
        <w:rPr>
          <w:bCs/>
          <w:b/>
        </w:rPr>
        <w:t xml:space="preserve">Part VI — Legal &amp; Compliance Adjacent Scope</w:t>
      </w:r>
      <w:r>
        <w:t xml:space="preserve"> </w:t>
      </w:r>
      <w:r>
        <w:t xml:space="preserve">holds Books 21 and 22. It sits at the very bottom of the Contents panel and is easy to miss — scroll down.</w:t>
      </w:r>
    </w:p>
    <w:p>
      <w:r>
        <w:pict>
          <v:rect style="width:0;height:1.5pt" o:hralign="center" o:hrstd="t" o:hr="t"/>
        </w:pict>
      </w:r>
    </w:p>
    <w:bookmarkEnd w:id="40"/>
    <w:bookmarkStart w:id="41" w:name="before-you-come-to-class"/>
    <w:p>
      <w:pPr>
        <w:pStyle w:val="Heading1"/>
      </w:pPr>
      <w:r>
        <w:t xml:space="preserve">Before you come to class</w:t>
      </w:r>
    </w:p>
    <w:p>
      <w:pPr>
        <w:numPr>
          <w:ilvl w:val="0"/>
          <w:numId w:val="1002"/>
        </w:numPr>
        <w:pStyle w:val="Compact"/>
      </w:pPr>
      <w:r>
        <w:rPr>
          <w:bCs/>
          <w:b/>
        </w:rPr>
        <w:t xml:space="preserve">Book 2 read in full.</w:t>
      </w:r>
    </w:p>
    <w:p>
      <w:pPr>
        <w:numPr>
          <w:ilvl w:val="0"/>
          <w:numId w:val="1002"/>
        </w:numPr>
        <w:pStyle w:val="Compact"/>
      </w:pPr>
      <w:r>
        <w:rPr>
          <w:bCs/>
          <w:b/>
        </w:rPr>
        <w:t xml:space="preserve">The other seven read once.</w:t>
      </w:r>
    </w:p>
    <w:p>
      <w:pPr>
        <w:numPr>
          <w:ilvl w:val="0"/>
          <w:numId w:val="1002"/>
        </w:numPr>
        <w:pStyle w:val="Compact"/>
      </w:pPr>
      <w:r>
        <w:rPr>
          <w:bCs/>
          <w:b/>
        </w:rPr>
        <w:t xml:space="preserve">An answer ready</w:t>
      </w:r>
      <w:r>
        <w:t xml:space="preserve"> </w:t>
      </w:r>
      <w:r>
        <w:t xml:space="preserve">to: where would evidence of an unapproved production change live?</w:t>
      </w:r>
    </w:p>
    <w:p>
      <w:pPr>
        <w:numPr>
          <w:ilvl w:val="0"/>
          <w:numId w:val="1002"/>
        </w:numPr>
        <w:pStyle w:val="Compact"/>
      </w:pPr>
      <w:r>
        <w:rPr>
          <w:bCs/>
          <w:b/>
        </w:rPr>
        <w:t xml:space="preserve">Your Planning Card from Session 1</w:t>
      </w:r>
      <w:r>
        <w:t xml:space="preserve"> </w:t>
      </w:r>
      <w:r>
        <w:t xml:space="preserve">in front of you.</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cs="Calibri" w:hAnsi="Calibri"/>
      <w:color w:val="1F2933"/>
      <w:sz w:val="21"/>
      <w:szCs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spacing w:after="80" w:before="0"/>
      <w:pBdr>
        <w:bottom w:color="C87F16" w:space="6" w:sz="18" w:val="single"/>
      </w:pBdr>
    </w:pPr>
    <w:rPr>
      <w:rFonts w:ascii="Cambria" w:hAnsi="Cambria"/>
      <w:b/>
      <w:color w:val="12203A"/>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spacing w:after="140" w:before="360"/>
      <w:pBdr>
        <w:bottom w:color="D6DEEA" w:space="5" w:sz="8" w:val="single"/>
      </w:pBdr>
      <w:outlineLvl w:val="0"/>
    </w:pPr>
    <w:rPr>
      <w:rFonts w:ascii="Cambria" w:hAnsi="Cambria"/>
      <w:b/>
      <w:color w:val="1B3358"/>
      <w:sz w:val="30"/>
      <w:szCs w:val="30"/>
    </w:rPr>
  </w:style>
  <w:style w:styleId="Heading2" w:type="paragraph">
    <w:name w:val="heading 2"/>
    <w:basedOn w:val="Normal"/>
    <w:next w:val="Normal"/>
    <w:qFormat/>
    <w:pPr>
      <w:keepNext/>
      <w:spacing w:after="100" w:before="280"/>
      <w:outlineLvl w:val="1"/>
    </w:pPr>
    <w:rPr>
      <w:rFonts w:ascii="Cambria" w:hAnsi="Cambria"/>
      <w:b/>
      <w:color w:val="1B3358"/>
      <w:sz w:val="24"/>
      <w:szCs w:val="24"/>
    </w:rPr>
  </w:style>
  <w:style w:styleId="Heading3" w:type="paragraph">
    <w:name w:val="heading 3"/>
    <w:basedOn w:val="Normal"/>
    <w:next w:val="Normal"/>
    <w:qFormat/>
    <w:pPr>
      <w:keepNext/>
      <w:spacing w:after="80" w:before="240"/>
      <w:outlineLvl w:val="2"/>
    </w:pPr>
    <w:rPr>
      <w:rFonts w:ascii="Calibri" w:hAnsi="Calibri"/>
      <w:b/>
      <w:color w:val="C87F16"/>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pBdr>
        <w:left w:color="C87F16" w:space="10" w:sz="18" w:val="single"/>
      </w:pBdr>
      <w:ind w:left="288"/>
      <w:spacing w:after="140" w:before="140"/>
    </w:pPr>
    <w:rPr>
      <w:i/>
      <w:color w:val="5A6B85"/>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pPr>
      <w:spacing w:after="40" w:before="40" w:line="240" w:lineRule="auto"/>
    </w:pPr>
    <w:rPr>
      <w:rFonts w:ascii="Calibri" w:hAnsi="Calibri"/>
      <w:sz w:val="19"/>
      <w:szCs w:val="19"/>
    </w:rPr>
    <w:tblPr>
      <w:tblBorders>
        <w:top w:color="D6DEEA" w:space="0" w:sz="4" w:val="single"/>
        <w:left w:color="auto" w:space="0" w:sz="0" w:val="none"/>
        <w:bottom w:color="D6DEEA" w:space="0" w:sz="4" w:val="single"/>
        <w:right w:color="auto" w:space="0" w:sz="0" w:val="none"/>
        <w:insideH w:color="D6DEEA" w:space="0" w:sz="4" w:val="single"/>
        <w:insideV w:color="auto" w:space="0" w:sz="0" w:val="none"/>
      </w:tblBorders>
      <w:tblCellMar>
        <w:top w:type="dxa" w:w="72"/>
        <w:left w:type="dxa" w:w="108"/>
        <w:bottom w:type="dxa" w:w="72"/>
        <w:right w:type="dxa" w:w="108"/>
      </w:tblCellMar>
    </w:tblPr>
    <w:tblStylePr w:type="firstRow">
      <w:pPr>
        <w:spacing w:after="60" w:before="60"/>
      </w:pPr>
      <w:rPr>
        <w:rFonts w:ascii="Calibri" w:hAnsi="Calibri"/>
        <w:b/>
        <w:color w:val="FFFFFF"/>
        <w:sz w:val="19"/>
      </w:rPr>
      <w:tcPr>
        <w:shd w:color="auto" w:fill="1B3358" w:val="clear"/>
        <w:tcBorders>
          <w:bottom w:color="1B3358" w:space="0" w:sz="4" w:val="single"/>
        </w:tcBorders>
      </w:tcPr>
    </w:tblStylePr>
    <w:tblStylePr w:type="band2Horz">
      <w:tcPr>
        <w:shd w:color="auto" w:fill="F5F8FC" w:val="clear"/>
      </w:tcPr>
    </w:tblStylePr>
    <w:tblStylePr w:type="firstCol">
      <w:rPr>
        <w:b/>
        <w:color w:val="1B3358"/>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Pack 2 — Before Wednesday, Week 1</dc:title>
  <dc:creator>SAP SOX / ITGC Controls — Course 1: The Full Sweep · Thornfield Industrial Group</dc:creator>
  <cp:keywords/>
  <dcterms:created xsi:type="dcterms:W3CDTF">2026-09-05T23:33:23Z</dcterms:created>
  <dcterms:modified xsi:type="dcterms:W3CDTF">2026-09-05T23:33:23Z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Module 2 · Change, Operations &amp; the Data Estate</vt:lpwstr>
  </property>
</Properties>
</file>