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w:t>
      </w:r>
      <w:r>
        <w:t xml:space="preserve"> </w:t>
      </w:r>
      <w:r>
        <w:t xml:space="preserve">Pack</w:t>
      </w:r>
      <w:r>
        <w:t xml:space="preserve"> </w:t>
      </w:r>
      <w:r>
        <w:t xml:space="preserve">3</w:t>
      </w:r>
      <w:r>
        <w:t xml:space="preserve"> </w:t>
      </w:r>
      <w:r>
        <w:t xml:space="preserve">—</w:t>
      </w:r>
      <w:r>
        <w:t xml:space="preserve"> </w:t>
      </w:r>
      <w:r>
        <w:t xml:space="preserve">Before</w:t>
      </w:r>
      <w:r>
        <w:t xml:space="preserve"> </w:t>
      </w:r>
      <w:r>
        <w:t xml:space="preserve">Friday,</w:t>
      </w:r>
      <w:r>
        <w:t xml:space="preserve"> </w:t>
      </w:r>
      <w:r>
        <w:t xml:space="preserve">Week</w:t>
      </w:r>
      <w:r>
        <w:t xml:space="preserve"> </w:t>
      </w:r>
      <w:r>
        <w:t xml:space="preserve">1</w:t>
      </w:r>
    </w:p>
    <w:p>
      <w:pPr>
        <w:pStyle w:val="Subtitle"/>
      </w:pPr>
      <w:r>
        <w:t xml:space="preserve">Module</w:t>
      </w:r>
      <w:r>
        <w:t xml:space="preserve"> </w:t>
      </w:r>
      <w:r>
        <w:t xml:space="preserve">3</w:t>
      </w:r>
      <w:r>
        <w:t xml:space="preserve"> </w:t>
      </w:r>
      <w:r>
        <w:t xml:space="preserve">·</w:t>
      </w:r>
      <w:r>
        <w:t xml:space="preserve"> </w:t>
      </w:r>
      <w:r>
        <w:t xml:space="preserve">Record</w:t>
      </w:r>
      <w:r>
        <w:t xml:space="preserve"> </w:t>
      </w:r>
      <w:r>
        <w:t xml:space="preserve">to</w:t>
      </w:r>
      <w:r>
        <w:t xml:space="preserve"> </w:t>
      </w:r>
      <w:r>
        <w:t xml:space="preserve">Report,</w:t>
      </w:r>
      <w:r>
        <w:t xml:space="preserve"> </w:t>
      </w:r>
      <w:r>
        <w:t xml:space="preserve">the</w:t>
      </w:r>
      <w:r>
        <w:t xml:space="preserve"> </w:t>
      </w:r>
      <w:r>
        <w:t xml:space="preserve">GRC</w:t>
      </w:r>
      <w:r>
        <w:t xml:space="preserve"> </w:t>
      </w:r>
      <w:r>
        <w:t xml:space="preserve">Platform</w:t>
      </w:r>
      <w:r>
        <w:t xml:space="preserve"> </w:t>
      </w:r>
      <w:r>
        <w:t xml:space="preserve">&amp;</w:t>
      </w:r>
      <w:r>
        <w:t xml:space="preserve"> </w:t>
      </w:r>
      <w:r>
        <w:t xml:space="preserve">Governance</w:t>
      </w:r>
    </w:p>
    <w:p>
      <w:pPr>
        <w:pStyle w:val="Author"/>
      </w:pPr>
      <w:r>
        <w:t xml:space="preserve">SAP</w:t>
      </w:r>
      <w:r>
        <w:t xml:space="preserve"> </w:t>
      </w:r>
      <w:r>
        <w:t xml:space="preserve">SOX</w:t>
      </w:r>
      <w:r>
        <w:t xml:space="preserve"> </w:t>
      </w:r>
      <w:r>
        <w:t xml:space="preserve">/</w:t>
      </w:r>
      <w:r>
        <w:t xml:space="preserve"> </w:t>
      </w:r>
      <w:r>
        <w:t xml:space="preserve">ITGC</w:t>
      </w:r>
      <w:r>
        <w:t xml:space="preserve"> </w:t>
      </w:r>
      <w:r>
        <w:t xml:space="preserve">Controls</w:t>
      </w:r>
      <w:r>
        <w:t xml:space="preserve"> </w:t>
      </w:r>
      <w:r>
        <w:t xml:space="preserve">—</w:t>
      </w:r>
      <w:r>
        <w:t xml:space="preserve"> </w:t>
      </w:r>
      <w:r>
        <w:t xml:space="preserve">Course</w:t>
      </w:r>
      <w:r>
        <w:t xml:space="preserve"> </w:t>
      </w:r>
      <w:r>
        <w:t xml:space="preserve">1:</w:t>
      </w:r>
      <w:r>
        <w:t xml:space="preserve"> </w:t>
      </w:r>
      <w:r>
        <w:t xml:space="preserve">The</w:t>
      </w:r>
      <w:r>
        <w:t xml:space="preserve"> </w:t>
      </w:r>
      <w:r>
        <w:t xml:space="preserve">Full</w:t>
      </w:r>
      <w:r>
        <w:t xml:space="preserve"> </w:t>
      </w:r>
      <w:r>
        <w:t xml:space="preserve">Sweep</w:t>
      </w:r>
      <w:r>
        <w:t xml:space="preserve"> </w:t>
      </w:r>
      <w:r>
        <w:t xml:space="preserve">·</w:t>
      </w:r>
      <w:r>
        <w:t xml:space="preserve"> </w:t>
      </w:r>
      <w:r>
        <w:t xml:space="preserve">Thornfield</w:t>
      </w:r>
      <w:r>
        <w:t xml:space="preserve"> </w:t>
      </w:r>
      <w:r>
        <w:t xml:space="preserve">Industrial</w:t>
      </w:r>
      <w:r>
        <w:t xml:space="preserve"> </w:t>
      </w:r>
      <w:r>
        <w:t xml:space="preserve">Group</w:t>
      </w:r>
    </w:p>
    <w:bookmarkStart w:id="20" w:name="before-you-start"/>
    <w:p>
      <w:pPr>
        <w:pStyle w:val="Heading1"/>
      </w:pPr>
      <w:r>
        <w:t xml:space="preserve">Before you start</w:t>
      </w:r>
    </w:p>
    <w:p>
      <w:pPr>
        <w:pStyle w:val="FirstParagraph"/>
      </w:pPr>
      <w:r>
        <w:rPr>
          <w:bCs/>
          <w:b/>
        </w:rPr>
        <w:t xml:space="preserve">Read Book 3 in full.</w:t>
      </w:r>
      <w:r>
        <w:t xml:space="preserve"> </w:t>
      </w:r>
      <w:r>
        <w:t xml:space="preserve">Then read the seven short pieces.</w:t>
      </w:r>
    </w:p>
    <w:p>
      <w:pPr>
        <w:pStyle w:val="BodyText"/>
      </w:pPr>
      <w:r>
        <w:t xml:space="preserve">This is the heaviest reading of the week. Module 3 has eight Books rather than seven, and the skim list is longer because more of them are extensions.</w:t>
      </w:r>
    </w:p>
    <w:p>
      <w:pPr>
        <w:pStyle w:val="BodyText"/>
      </w:pPr>
      <w:r>
        <w:rPr>
          <w:bCs/>
          <w:b/>
        </w:rPr>
        <w:t xml:space="preserve">Total time: about 70 to 85 minutes.</w:t>
      </w:r>
    </w:p>
    <w:p>
      <w:pPr>
        <w:pStyle w:val="BodyText"/>
      </w:pPr>
      <w:r>
        <w:rPr>
          <w:bCs/>
          <w:b/>
        </w:rPr>
        <w:t xml:space="preserve">One question to hold while you read Book 3:</w:t>
      </w:r>
      <w:r>
        <w:t xml:space="preserve"> </w:t>
      </w:r>
      <w:r>
        <w:rPr>
          <w:iCs/>
          <w:i/>
        </w:rPr>
        <w:t xml:space="preserve">twenty-five sampled entries were all approved perfectly. So why is this still a failure?</w:t>
      </w:r>
    </w:p>
    <w:p>
      <w:r>
        <w:pict>
          <v:rect style="width:0;height:1.5pt" o:hralign="center" o:hrstd="t" o:hr="t"/>
        </w:pict>
      </w:r>
    </w:p>
    <w:bookmarkEnd w:id="20"/>
    <w:bookmarkStart w:id="22" w:name="where-module-3-sits"/>
    <w:p>
      <w:pPr>
        <w:pStyle w:val="Heading1"/>
      </w:pPr>
      <w:r>
        <w:t xml:space="preserve">Where Module 3 sits</w:t>
      </w:r>
    </w:p>
    <w:p>
      <w:pPr>
        <w:pStyle w:val="FirstParagraph"/>
      </w:pPr>
      <w:r>
        <w:t xml:space="preserve">Modules 1 and 2 were</w:t>
      </w:r>
      <w:r>
        <w:t xml:space="preserve"> </w:t>
      </w:r>
      <w:r>
        <w:rPr>
          <w:bCs/>
          <w:b/>
        </w:rPr>
        <w:t xml:space="preserve">ITGC</w:t>
      </w:r>
      <w:r>
        <w:t xml:space="preserve"> </w:t>
      </w:r>
      <w:r>
        <w:t xml:space="preserve">— IT general controls. The foundation. Who has access, how changes get made, whether the system runs and the data survives.</w:t>
      </w:r>
    </w:p>
    <w:p>
      <w:pPr>
        <w:pStyle w:val="BodyText"/>
      </w:pPr>
      <w:r>
        <w:t xml:space="preserve">Module 3 is mostly about the controls that sit</w:t>
      </w:r>
      <w:r>
        <w:t xml:space="preserve"> </w:t>
      </w:r>
      <w:r>
        <w:rPr>
          <w:bCs/>
          <w:b/>
        </w:rPr>
        <w:t xml:space="preserve">on top</w:t>
      </w:r>
      <w:r>
        <w:t xml:space="preserve"> </w:t>
      </w:r>
      <w:r>
        <w:t xml:space="preserve">of that foundation, inside the financial process itself. And about what happens when the foundation has to hold up an executive’s signature.</w:t>
      </w:r>
    </w:p>
    <w:p>
      <w:pPr>
        <w:pStyle w:val="BodyText"/>
      </w:pPr>
      <w:r>
        <w:t xml:space="preserve">If your ITGCs are weak, everything in Module 3 gets harder — because you can no longer rely on the system-generated evidence the process controls depend on.</w:t>
      </w:r>
    </w:p>
    <w:p>
      <w:pPr>
        <w:pStyle w:val="BodyText"/>
      </w:pPr>
      <w:r>
        <w:t xml:space="preserve">That relationship is called</w:t>
      </w:r>
      <w:r>
        <w:t xml:space="preserve"> </w:t>
      </w:r>
      <w:r>
        <w:rPr>
          <w:bCs/>
          <w:b/>
        </w:rPr>
        <w:t xml:space="preserve">ITGC reliance</w:t>
      </w:r>
      <w:r>
        <w:t xml:space="preserve">, and it’s why Modules 1 and 2 came first.</w:t>
      </w:r>
    </w:p>
    <w:bookmarkStart w:id="21" w:name="the-ladder"/>
    <w:p>
      <w:pPr>
        <w:pStyle w:val="Heading2"/>
      </w:pPr>
      <w:r>
        <w:t xml:space="preserve">The ladder</w:t>
      </w:r>
    </w:p>
    <w:p>
      <w:pPr>
        <w:pStyle w:val="FirstParagraph"/>
      </w:pPr>
      <w:r>
        <w:t xml:space="preserve">The eight Books in this module climb from a single posted journal entry all the way up to a regulator.</w:t>
      </w:r>
    </w:p>
    <w:p>
      <w:pPr>
        <w:pStyle w:val="BodyText"/>
      </w:pPr>
      <w:r>
        <w:rPr>
          <w:bCs/>
          <w:b/>
        </w:rPr>
        <w:t xml:space="preserve">Book 3</w:t>
      </w:r>
      <w:r>
        <w:t xml:space="preserve"> </w:t>
      </w:r>
      <w:r>
        <w:t xml:space="preserve">— the transaction. Is this entry right?</w:t>
      </w:r>
      <w:r>
        <w:t xml:space="preserve"> </w:t>
      </w:r>
      <w:r>
        <w:rPr>
          <w:bCs/>
          <w:b/>
        </w:rPr>
        <w:t xml:space="preserve">Book 14</w:t>
      </w:r>
      <w:r>
        <w:t xml:space="preserve"> </w:t>
      </w:r>
      <w:r>
        <w:t xml:space="preserve">— the platform. Is the thing that monitors the entries working?</w:t>
      </w:r>
      <w:r>
        <w:t xml:space="preserve"> </w:t>
      </w:r>
      <w:r>
        <w:rPr>
          <w:bCs/>
          <w:b/>
        </w:rPr>
        <w:t xml:space="preserve">Book 12</w:t>
      </w:r>
      <w:r>
        <w:t xml:space="preserve"> </w:t>
      </w:r>
      <w:r>
        <w:t xml:space="preserve">— the disclosure. Did we tell people, in time?</w:t>
      </w:r>
    </w:p>
    <w:p>
      <w:pPr>
        <w:pStyle w:val="BodyText"/>
      </w:pPr>
      <w:r>
        <w:t xml:space="preserve">The five extensions sit at various rungs in between.</w:t>
      </w:r>
    </w:p>
    <w:p>
      <w:r>
        <w:pict>
          <v:rect style="width:0;height:1.5pt" o:hralign="center" o:hrstd="t" o:hr="t"/>
        </w:pict>
      </w:r>
    </w:p>
    <w:bookmarkEnd w:id="21"/>
    <w:bookmarkEnd w:id="22"/>
    <w:bookmarkStart w:id="31" w:name="book-3-the-approval-limit"/>
    <w:p>
      <w:pPr>
        <w:pStyle w:val="Heading1"/>
      </w:pPr>
      <w:r>
        <w:t xml:space="preserve">BOOK 3 — THE APPROVAL LIMIT</w:t>
      </w:r>
    </w:p>
    <w:p>
      <w:pPr>
        <w:pStyle w:val="FirstParagraph"/>
      </w:pPr>
      <w:r>
        <w:rPr>
          <w:bCs/>
          <w:b/>
        </w:rPr>
        <w:t xml:space="preserve">Scope area:</w:t>
      </w:r>
      <w:r>
        <w:t xml:space="preserve"> </w:t>
      </w:r>
      <w:r>
        <w:t xml:space="preserve">Record to report · journal entries</w:t>
      </w:r>
      <w:r>
        <w:t xml:space="preserve"> </w:t>
      </w:r>
      <w:r>
        <w:rPr>
          <w:bCs/>
          <w:b/>
        </w:rPr>
        <w:t xml:space="preserve">Read this one in full.</w:t>
      </w:r>
    </w:p>
    <w:bookmarkStart w:id="23" w:name="the-control-that-looked-perfect"/>
    <w:p>
      <w:pPr>
        <w:pStyle w:val="Heading2"/>
      </w:pPr>
      <w:r>
        <w:t xml:space="preserve">The control that looked perfect</w:t>
      </w:r>
    </w:p>
    <w:p>
      <w:pPr>
        <w:pStyle w:val="FirstParagraph"/>
      </w:pPr>
      <w:r>
        <w:t xml:space="preserve">Thornfield has a good journal entry control, on paper.</w:t>
      </w:r>
    </w:p>
    <w:p>
      <w:pPr>
        <w:pStyle w:val="BodyText"/>
      </w:pPr>
      <w:r>
        <w:t xml:space="preserve">Manual journal entries above a threshold route automatically through workflow to an independent second person for approval, before they post. It’s preventive. It’s system-enforced. Nobody can bypass it by being busy or forgetful, because the machine does the routing.</w:t>
      </w:r>
    </w:p>
    <w:p>
      <w:pPr>
        <w:pStyle w:val="BodyText"/>
      </w:pPr>
      <w:r>
        <w:t xml:space="preserve">Théo Laurent tested it in March.</w:t>
      </w:r>
    </w:p>
    <w:p>
      <w:pPr>
        <w:pStyle w:val="BodyText"/>
      </w:pPr>
      <w:r>
        <w:t xml:space="preserve">He pulled the journal entries that had routed through workflow. He selected twenty-five. For each one he checked that an approval existed, that the approver was somebody other than the preparer, and that the approval came before the posting.</w:t>
      </w:r>
    </w:p>
    <w:p>
      <w:pPr>
        <w:pStyle w:val="BodyText"/>
      </w:pPr>
      <w:r>
        <w:rPr>
          <w:bCs/>
          <w:b/>
        </w:rPr>
        <w:t xml:space="preserve">Twenty-five out of twenty-five. Perfect.</w:t>
      </w:r>
    </w:p>
    <w:p>
      <w:pPr>
        <w:pStyle w:val="BodyText"/>
      </w:pPr>
      <w:r>
        <w:t xml:space="preserve">He wrote</w:t>
      </w:r>
      <w:r>
        <w:t xml:space="preserve"> </w:t>
      </w:r>
      <w:r>
        <w:t xml:space="preserve">“</w:t>
      </w:r>
      <w:r>
        <w:t xml:space="preserve">no exceptions noted.</w:t>
      </w:r>
      <w:r>
        <w:t xml:space="preserve">”</w:t>
      </w:r>
      <w:r>
        <w:t xml:space="preserve"> </w:t>
      </w:r>
      <w:r>
        <w:t xml:space="preserve">His workpaper was neat, complete, and well referenced.</w:t>
      </w:r>
    </w:p>
    <w:bookmarkEnd w:id="23"/>
    <w:bookmarkStart w:id="24" w:name="yusufs-question"/>
    <w:p>
      <w:pPr>
        <w:pStyle w:val="Heading2"/>
      </w:pPr>
      <w:r>
        <w:t xml:space="preserve">Yusuf’s question</w:t>
      </w:r>
    </w:p>
    <w:p>
      <w:pPr>
        <w:pStyle w:val="FirstParagraph"/>
      </w:pPr>
      <w:r>
        <w:t xml:space="preserve">Yusuf Bello, the Internal Audit Manager, reviewed it. He asked one question, and it took Théo four days to recover from it.</w:t>
      </w:r>
    </w:p>
    <w:p>
      <w:pPr>
        <w:pStyle w:val="BlockText"/>
      </w:pPr>
      <w:r>
        <w:rPr>
          <w:iCs/>
          <w:i/>
        </w:rPr>
        <w:t xml:space="preserve">“</w:t>
      </w:r>
      <w:r>
        <w:rPr>
          <w:iCs/>
          <w:i/>
        </w:rPr>
        <w:t xml:space="preserve">You’ve confirmed the threshold is correctly configured. How do you know it was configured that way for the whole period?</w:t>
      </w:r>
      <w:r>
        <w:rPr>
          <w:iCs/>
          <w:i/>
        </w:rPr>
        <w:t xml:space="preserve">”</w:t>
      </w:r>
    </w:p>
    <w:p>
      <w:pPr>
        <w:pStyle w:val="FirstParagraph"/>
      </w:pPr>
      <w:r>
        <w:t xml:space="preserve">Théo hadn’t confirmed the threshold at all. He’d tested the entries that routed.</w:t>
      </w:r>
    </w:p>
    <w:p>
      <w:pPr>
        <w:pStyle w:val="BodyText"/>
      </w:pPr>
      <w:r>
        <w:t xml:space="preserve">And it took him a while to see why that mattered, because at first it sounds like the same thing.</w:t>
      </w:r>
    </w:p>
    <w:bookmarkEnd w:id="24"/>
    <w:bookmarkStart w:id="25" w:name="why-it-isnt-the-same-thing"/>
    <w:p>
      <w:pPr>
        <w:pStyle w:val="Heading2"/>
      </w:pPr>
      <w:r>
        <w:t xml:space="preserve">Why it isn’t the same thing</w:t>
      </w:r>
    </w:p>
    <w:p>
      <w:pPr>
        <w:pStyle w:val="FirstParagraph"/>
      </w:pPr>
      <w:r>
        <w:t xml:space="preserve">Here’s the shape of it, and it’s worth reading twice.</w:t>
      </w:r>
    </w:p>
    <w:p>
      <w:pPr>
        <w:pStyle w:val="BodyText"/>
      </w:pPr>
      <w:r>
        <w:rPr>
          <w:bCs/>
          <w:b/>
        </w:rPr>
        <w:t xml:space="preserve">The entries Théo sampled were the entries the routing rule sent to workflow.</w:t>
      </w:r>
      <w:r>
        <w:t xml:space="preserve"> </w:t>
      </w:r>
      <w:r>
        <w:t xml:space="preserve">If the rule was wrong, the entries it wrongly let through never entered his sample — because they never routed.</w:t>
      </w:r>
    </w:p>
    <w:p>
      <w:pPr>
        <w:pStyle w:val="BodyText"/>
      </w:pPr>
      <w:r>
        <w:t xml:space="preserve">He had sampled the population the broken rule produced, and found it clean. It was always going to be clean.</w:t>
      </w:r>
      <w:r>
        <w:t xml:space="preserve"> </w:t>
      </w:r>
      <w:r>
        <w:rPr>
          <w:bCs/>
          <w:b/>
        </w:rPr>
        <w:t xml:space="preserve">His test could not have failed.</w:t>
      </w:r>
    </w:p>
    <w:bookmarkEnd w:id="25"/>
    <w:bookmarkStart w:id="26" w:name="the-zero"/>
    <w:p>
      <w:pPr>
        <w:pStyle w:val="Heading2"/>
      </w:pPr>
      <w:r>
        <w:t xml:space="preserve">The zero</w:t>
      </w:r>
    </w:p>
    <w:p>
      <w:pPr>
        <w:pStyle w:val="FirstParagraph"/>
      </w:pPr>
      <w:r>
        <w:t xml:space="preserve">Devon pulled the configuration.</w:t>
      </w:r>
    </w:p>
    <w:p>
      <w:pPr>
        <w:pStyle w:val="BodyText"/>
      </w:pPr>
      <w:r>
        <w:t xml:space="preserve">Thornfield’s policy says manual journal entries over</w:t>
      </w:r>
      <w:r>
        <w:t xml:space="preserve"> </w:t>
      </w:r>
      <w:r>
        <w:rPr>
          <w:bCs/>
          <w:b/>
        </w:rPr>
        <w:t xml:space="preserve">ten thousand dollars</w:t>
      </w:r>
      <w:r>
        <w:t xml:space="preserve"> </w:t>
      </w:r>
      <w:r>
        <w:t xml:space="preserve">route for approval.</w:t>
      </w:r>
    </w:p>
    <w:p>
      <w:pPr>
        <w:pStyle w:val="BodyText"/>
      </w:pPr>
      <w:r>
        <w:t xml:space="preserve">The workflow parameter said</w:t>
      </w:r>
      <w:r>
        <w:t xml:space="preserve"> </w:t>
      </w:r>
      <w:r>
        <w:rPr>
          <w:bCs/>
          <w:b/>
        </w:rPr>
        <w:t xml:space="preserve">one hundred thousand</w:t>
      </w:r>
      <w:r>
        <w:t xml:space="preserve">.</w:t>
      </w:r>
    </w:p>
    <w:p>
      <w:pPr>
        <w:pStyle w:val="BodyText"/>
      </w:pPr>
      <w:r>
        <w:t xml:space="preserve">Somebody, at some point, had typed one zero too many into a configuration field. Not maliciously. Not carelessly, even — the field is one of several hundred on a screen almost nobody re-reads.</w:t>
      </w:r>
    </w:p>
    <w:p>
      <w:pPr>
        <w:pStyle w:val="BodyText"/>
      </w:pPr>
      <w:r>
        <w:t xml:space="preserve">Everything between ten thousand and a hundred thousand had sailed straight through. Posted. Unreviewed.</w:t>
      </w:r>
    </w:p>
    <w:p>
      <w:pPr>
        <w:pStyle w:val="BodyText"/>
      </w:pPr>
      <w:r>
        <w:rPr>
          <w:bCs/>
          <w:b/>
        </w:rPr>
        <w:t xml:space="preserve">For two quarters.</w:t>
      </w:r>
    </w:p>
    <w:p>
      <w:pPr>
        <w:pStyle w:val="BodyText"/>
      </w:pPr>
      <w:r>
        <w:t xml:space="preserve">Four hundred and twelve entries.</w:t>
      </w:r>
    </w:p>
    <w:bookmarkEnd w:id="26"/>
    <w:bookmarkStart w:id="27" w:name="the-second-question"/>
    <w:p>
      <w:pPr>
        <w:pStyle w:val="Heading2"/>
      </w:pPr>
      <w:r>
        <w:t xml:space="preserve">The second question</w:t>
      </w:r>
    </w:p>
    <w:p>
      <w:pPr>
        <w:pStyle w:val="FirstParagraph"/>
      </w:pPr>
      <w:r>
        <w:t xml:space="preserve">Théo’s next instinct was to check the parameter’s current value and confirm it was right.</w:t>
      </w:r>
    </w:p>
    <w:p>
      <w:pPr>
        <w:pStyle w:val="BodyText"/>
      </w:pPr>
      <w:r>
        <w:rPr>
          <w:bCs/>
          <w:b/>
        </w:rPr>
        <w:t xml:space="preserve">It was right.</w:t>
      </w:r>
      <w:r>
        <w:t xml:space="preserve"> </w:t>
      </w:r>
      <w:r>
        <w:t xml:space="preserve">Somebody had corrected it in a routine configuration change six weeks earlier, without anyone connecting the correction to a control failure.</w:t>
      </w:r>
    </w:p>
    <w:p>
      <w:pPr>
        <w:pStyle w:val="BodyText"/>
      </w:pPr>
      <w:r>
        <w:t xml:space="preserve">So Théo nearly wrote a clean conclusion for a second time.</w:t>
      </w:r>
    </w:p>
    <w:p>
      <w:pPr>
        <w:pStyle w:val="BodyText"/>
      </w:pPr>
      <w:r>
        <w:t xml:space="preserve">Nadia caught it:</w:t>
      </w:r>
    </w:p>
    <w:p>
      <w:pPr>
        <w:pStyle w:val="BlockText"/>
      </w:pPr>
      <w:r>
        <w:rPr>
          <w:iCs/>
          <w:i/>
        </w:rPr>
        <w:t xml:space="preserve">“</w:t>
      </w:r>
      <w:r>
        <w:rPr>
          <w:iCs/>
          <w:i/>
        </w:rPr>
        <w:t xml:space="preserve">The value today isn’t evidence of the value in March. You need the change history.</w:t>
      </w:r>
      <w:r>
        <w:rPr>
          <w:iCs/>
          <w:i/>
        </w:rPr>
        <w:t xml:space="preserve">”</w:t>
      </w:r>
    </w:p>
    <w:p>
      <w:pPr>
        <w:pStyle w:val="FirstParagraph"/>
      </w:pPr>
      <w:r>
        <w:t xml:space="preserve">The change history showed the parameter had been wrong from January to the beginning of June. That’s what turned</w:t>
      </w:r>
      <w:r>
        <w:t xml:space="preserve"> </w:t>
      </w:r>
      <w:r>
        <w:t xml:space="preserve">“</w:t>
      </w:r>
      <w:r>
        <w:t xml:space="preserve">the threshold is currently correct</w:t>
      </w:r>
      <w:r>
        <w:t xml:space="preserve">”</w:t>
      </w:r>
      <w:r>
        <w:t xml:space="preserve"> </w:t>
      </w:r>
      <w:r>
        <w:t xml:space="preserve">into a finding with a start date, an end date, and a population.</w:t>
      </w:r>
    </w:p>
    <w:bookmarkEnd w:id="27"/>
    <w:bookmarkStart w:id="28" w:name="how-it-was-written"/>
    <w:p>
      <w:pPr>
        <w:pStyle w:val="Heading2"/>
      </w:pPr>
      <w:r>
        <w:t xml:space="preserve">How it was written</w:t>
      </w:r>
    </w:p>
    <w:p>
      <w:pPr>
        <w:pStyle w:val="BlockText"/>
      </w:pPr>
      <w:r>
        <w:rPr>
          <w:iCs/>
          <w:i/>
        </w:rPr>
        <w:t xml:space="preserve">“</w:t>
      </w:r>
      <w:r>
        <w:rPr>
          <w:iCs/>
          <w:i/>
        </w:rPr>
        <w:t xml:space="preserve">Four hundred and twelve manual journal entries totalling $18.4 million were posted above the policy approval threshold without workflow routing, as a result of a workflow configuration parameter set to $100,000 rather than the policy value of $10,000, from 3 January to 6 June.</w:t>
      </w:r>
      <w:r>
        <w:rPr>
          <w:iCs/>
          <w:i/>
        </w:rPr>
        <w:t xml:space="preserve">”</w:t>
      </w:r>
    </w:p>
    <w:p>
      <w:pPr>
        <w:pStyle w:val="FirstParagraph"/>
      </w:pPr>
      <w:r>
        <w:t xml:space="preserve">One sentence. It contains the</w:t>
      </w:r>
      <w:r>
        <w:t xml:space="preserve"> </w:t>
      </w:r>
      <w:r>
        <w:rPr>
          <w:bCs/>
          <w:b/>
        </w:rPr>
        <w:t xml:space="preserve">what</w:t>
      </w:r>
      <w:r>
        <w:t xml:space="preserve">, the</w:t>
      </w:r>
      <w:r>
        <w:t xml:space="preserve"> </w:t>
      </w:r>
      <w:r>
        <w:rPr>
          <w:bCs/>
          <w:b/>
        </w:rPr>
        <w:t xml:space="preserve">how many</w:t>
      </w:r>
      <w:r>
        <w:t xml:space="preserve">, the</w:t>
      </w:r>
      <w:r>
        <w:t xml:space="preserve"> </w:t>
      </w:r>
      <w:r>
        <w:rPr>
          <w:bCs/>
          <w:b/>
        </w:rPr>
        <w:t xml:space="preserve">how much</w:t>
      </w:r>
      <w:r>
        <w:t xml:space="preserve">, the</w:t>
      </w:r>
      <w:r>
        <w:t xml:space="preserve"> </w:t>
      </w:r>
      <w:r>
        <w:rPr>
          <w:bCs/>
          <w:b/>
        </w:rPr>
        <w:t xml:space="preserve">cause</w:t>
      </w:r>
      <w:r>
        <w:t xml:space="preserve">, and the</w:t>
      </w:r>
      <w:r>
        <w:t xml:space="preserve"> </w:t>
      </w:r>
      <w:r>
        <w:rPr>
          <w:bCs/>
          <w:b/>
        </w:rPr>
        <w:t xml:space="preserve">duration</w:t>
      </w:r>
      <w:r>
        <w:t xml:space="preserve">.</w:t>
      </w:r>
    </w:p>
    <w:p>
      <w:pPr>
        <w:pStyle w:val="BodyText"/>
      </w:pPr>
      <w:r>
        <w:t xml:space="preserve">A Financial Controller can act on it without asking a single follow-up question. That’s the standard your workpapers get held to for the rest of this course.</w:t>
      </w:r>
    </w:p>
    <w:p>
      <w:r>
        <w:pict>
          <v:rect style="width:0;height:1.5pt" o:hralign="center" o:hrstd="t" o:hr="t"/>
        </w:pict>
      </w:r>
    </w:p>
    <w:bookmarkEnd w:id="28"/>
    <w:bookmarkStart w:id="29" w:name="what-to-notice"/>
    <w:p>
      <w:pPr>
        <w:pStyle w:val="Heading2"/>
      </w:pPr>
      <w:r>
        <w:t xml:space="preserve">What to notice</w:t>
      </w:r>
    </w:p>
    <w:p>
      <w:pPr>
        <w:pStyle w:val="FirstParagraph"/>
      </w:pPr>
      <w:r>
        <w:rPr>
          <w:bCs/>
          <w:b/>
        </w:rPr>
        <w:t xml:space="preserve">1. A clean result is only evidence if the control could have produced a dirty one.</w:t>
      </w:r>
      <w:r>
        <w:t xml:space="preserve"> </w:t>
      </w:r>
      <w:r>
        <w:t xml:space="preserve">Théo’s test was incapable of failing. That’s the most dangerous outcome in this profession, and it looks exactly like success.</w:t>
      </w:r>
    </w:p>
    <w:p>
      <w:pPr>
        <w:pStyle w:val="BodyText"/>
      </w:pPr>
      <w:r>
        <w:rPr>
          <w:bCs/>
          <w:b/>
        </w:rPr>
        <w:t xml:space="preserve">2. An automated control has two testable components.</w:t>
      </w:r>
      <w:r>
        <w:t xml:space="preserve"> </w:t>
      </w:r>
      <w:r>
        <w:t xml:space="preserve">Configuration and operation. Testing only operation is testing half a control — and it’s the half that can’t find this failure.</w:t>
      </w:r>
    </w:p>
    <w:p>
      <w:pPr>
        <w:pStyle w:val="BodyText"/>
      </w:pPr>
      <w:r>
        <w:rPr>
          <w:bCs/>
          <w:b/>
        </w:rPr>
        <w:t xml:space="preserve">3. The configuration test takes five minutes.</w:t>
      </w:r>
      <w:r>
        <w:t xml:space="preserve"> </w:t>
      </w:r>
      <w:r>
        <w:t xml:space="preserve">That’s what it costs to skip. Two quarters, four hundred and twelve entries, eighteen million dollars.</w:t>
      </w:r>
    </w:p>
    <w:p>
      <w:pPr>
        <w:pStyle w:val="BodyText"/>
      </w:pPr>
      <w:r>
        <w:rPr>
          <w:bCs/>
          <w:b/>
        </w:rPr>
        <w:t xml:space="preserve">4. Current value is not period value.</w:t>
      </w:r>
      <w:r>
        <w:t xml:space="preserve"> </w:t>
      </w:r>
      <w:r>
        <w:t xml:space="preserve">The parameter was right when he looked. It had been wrong for five months. Change history is where the finding lives.</w:t>
      </w:r>
    </w:p>
    <w:p>
      <w:pPr>
        <w:pStyle w:val="BodyText"/>
      </w:pPr>
      <w:r>
        <w:rPr>
          <w:bCs/>
          <w:b/>
        </w:rPr>
        <w:t xml:space="preserve">5. There is no villain again.</w:t>
      </w:r>
      <w:r>
        <w:t xml:space="preserve"> </w:t>
      </w:r>
      <w:r>
        <w:t xml:space="preserve">A typo, in a configuration field, in a system nobody re-reads. Third Book in a row.</w:t>
      </w:r>
    </w:p>
    <w:bookmarkEnd w:id="29"/>
    <w:bookmarkStart w:id="30" w:name="the-question-to-bring-to-class"/>
    <w:p>
      <w:pPr>
        <w:pStyle w:val="Heading2"/>
      </w:pPr>
      <w:r>
        <w:t xml:space="preserve">The question to bring to class</w:t>
      </w:r>
    </w:p>
    <w:p>
      <w:pPr>
        <w:pStyle w:val="FirstParagraph"/>
      </w:pPr>
      <w:r>
        <w:t xml:space="preserve">Book 14 is called</w:t>
      </w:r>
      <w:r>
        <w:t xml:space="preserve"> </w:t>
      </w:r>
      <w:r>
        <w:rPr>
          <w:bCs/>
          <w:b/>
        </w:rPr>
        <w:t xml:space="preserve">The Rule That Never Fired</w:t>
      </w:r>
      <w:r>
        <w:t xml:space="preserve">. An automated exception rule returned a clean result for six weeks — because it had silently stopped checking.</w:t>
      </w:r>
    </w:p>
    <w:p>
      <w:pPr>
        <w:pStyle w:val="BodyText"/>
      </w:pPr>
      <w:r>
        <w:rPr>
          <w:bCs/>
          <w:b/>
        </w:rPr>
        <w:t xml:space="preserve">A working control that finds nothing and a broken control both report</w:t>
      </w:r>
      <w:r>
        <w:rPr>
          <w:bCs/>
          <w:b/>
        </w:rPr>
        <w:t xml:space="preserve"> </w:t>
      </w:r>
      <w:r>
        <w:rPr>
          <w:bCs/>
          <w:b/>
        </w:rPr>
        <w:t xml:space="preserve">“</w:t>
      </w:r>
      <w:r>
        <w:rPr>
          <w:bCs/>
          <w:b/>
        </w:rPr>
        <w:t xml:space="preserve">no exceptions.</w:t>
      </w:r>
      <w:r>
        <w:rPr>
          <w:bCs/>
          <w:b/>
        </w:rPr>
        <w:t xml:space="preserve">”</w:t>
      </w:r>
    </w:p>
    <w:p>
      <w:pPr>
        <w:pStyle w:val="BodyText"/>
      </w:pPr>
      <w:r>
        <w:t xml:space="preserve">How would you ever tell them apart? Come with a thought.</w:t>
      </w:r>
    </w:p>
    <w:p>
      <w:r>
        <w:pict>
          <v:rect style="width:0;height:1.5pt" o:hralign="center" o:hrstd="t" o:hr="t"/>
        </w:pict>
      </w:r>
    </w:p>
    <w:bookmarkEnd w:id="30"/>
    <w:bookmarkEnd w:id="31"/>
    <w:bookmarkStart w:id="39" w:name="the-other-seven-module-3-books-in-brief"/>
    <w:p>
      <w:pPr>
        <w:pStyle w:val="Heading1"/>
      </w:pPr>
      <w:r>
        <w:t xml:space="preserve">The other seven Module 3 Books, in brief</w:t>
      </w:r>
    </w:p>
    <w:p>
      <w:r>
        <w:pict>
          <v:rect style="width:0;height:1.5pt" o:hralign="center" o:hrstd="t" o:hr="t"/>
        </w:pict>
      </w:r>
    </w:p>
    <w:bookmarkStart w:id="32" w:name="book-14-the-rule-that-never-fired"/>
    <w:p>
      <w:pPr>
        <w:pStyle w:val="Heading2"/>
      </w:pPr>
      <w:r>
        <w:t xml:space="preserve">BOOK 14 — THE RULE THAT NEVER FIRED</w:t>
      </w:r>
    </w:p>
    <w:p>
      <w:pPr>
        <w:pStyle w:val="FirstParagraph"/>
      </w:pPr>
      <w:r>
        <w:rPr>
          <w:bCs/>
          <w:b/>
        </w:rPr>
        <w:t xml:space="preserve">GRC platform · Process Control</w:t>
      </w:r>
      <w:r>
        <w:t xml:space="preserve"> </w:t>
      </w:r>
      <w:r>
        <w:rPr>
          <w:iCs/>
          <w:i/>
        </w:rPr>
        <w:t xml:space="preserve">(anchor — covered at depth on Friday)</w:t>
      </w:r>
    </w:p>
    <w:p>
      <w:pPr>
        <w:pStyle w:val="BodyText"/>
      </w:pPr>
      <w:r>
        <w:t xml:space="preserve">You met</w:t>
      </w:r>
      <w:r>
        <w:t xml:space="preserve"> </w:t>
      </w:r>
      <w:r>
        <w:rPr>
          <w:bCs/>
          <w:b/>
        </w:rPr>
        <w:t xml:space="preserve">GRC Access Control</w:t>
      </w:r>
      <w:r>
        <w:t xml:space="preserve"> </w:t>
      </w:r>
      <w:r>
        <w:t xml:space="preserve">in Module 1 — the module that governs who can do what.</w:t>
      </w:r>
      <w:r>
        <w:t xml:space="preserve"> </w:t>
      </w:r>
      <w:r>
        <w:rPr>
          <w:bCs/>
          <w:b/>
        </w:rPr>
        <w:t xml:space="preserve">GRC Process Control</w:t>
      </w:r>
      <w:r>
        <w:t xml:space="preserve"> </w:t>
      </w:r>
      <w:r>
        <w:t xml:space="preserve">is its sibling, and it does something different: it automates the monitoring of controls themselves.</w:t>
      </w:r>
    </w:p>
    <w:p>
      <w:pPr>
        <w:pStyle w:val="BodyText"/>
      </w:pPr>
      <w:r>
        <w:t xml:space="preserve">You define a</w:t>
      </w:r>
      <w:r>
        <w:t xml:space="preserve"> </w:t>
      </w:r>
      <w:r>
        <w:rPr>
          <w:bCs/>
          <w:b/>
        </w:rPr>
        <w:t xml:space="preserve">business rule</w:t>
      </w:r>
      <w:r>
        <w:t xml:space="preserve"> </w:t>
      </w:r>
      <w:r>
        <w:t xml:space="preserve">— a query with a condition attached.</w:t>
      </w:r>
      <w:r>
        <w:t xml:space="preserve"> </w:t>
      </w:r>
      <w:r>
        <w:rPr>
          <w:iCs/>
          <w:i/>
        </w:rPr>
        <w:t xml:space="preserve">“</w:t>
      </w:r>
      <w:r>
        <w:rPr>
          <w:iCs/>
          <w:i/>
        </w:rPr>
        <w:t xml:space="preserve">Show me every vendor record where the bank details changed within seven days of a payment.</w:t>
      </w:r>
      <w:r>
        <w:rPr>
          <w:iCs/>
          <w:i/>
        </w:rPr>
        <w:t xml:space="preserve">”</w:t>
      </w:r>
      <w:r>
        <w:t xml:space="preserve"> </w:t>
      </w:r>
      <w:r>
        <w:t xml:space="preserve">It runs on a schedule, evaluates the data, and raises exceptions for someone to work.</w:t>
      </w:r>
    </w:p>
    <w:p>
      <w:pPr>
        <w:pStyle w:val="BodyText"/>
      </w:pPr>
      <w:r>
        <w:t xml:space="preserve">It’s genuinely good technology. And it carries a subtle risk:</w:t>
      </w:r>
      <w:r>
        <w:t xml:space="preserve"> </w:t>
      </w:r>
      <w:r>
        <w:rPr>
          <w:bCs/>
          <w:b/>
        </w:rPr>
        <w:t xml:space="preserve">the organisation stops looking, because the machine is looking.</w:t>
      </w:r>
    </w:p>
    <w:p>
      <w:pPr>
        <w:pStyle w:val="BodyText"/>
      </w:pPr>
      <w:r>
        <w:t xml:space="preserve">At Thornfield, a rule’s data source changed. From that day it evaluated an empty population and returned clean. Six weeks of</w:t>
      </w:r>
      <w:r>
        <w:t xml:space="preserve"> </w:t>
      </w:r>
      <w:r>
        <w:t xml:space="preserve">“</w:t>
      </w:r>
      <w:r>
        <w:t xml:space="preserve">no exceptions,</w:t>
      </w:r>
      <w:r>
        <w:t xml:space="preserve">”</w:t>
      </w:r>
      <w:r>
        <w:t xml:space="preserve"> </w:t>
      </w:r>
      <w:r>
        <w:t xml:space="preserve">all meaningless. Nobody noticed, because a machine that finds nothing and a machine that isn’t checking produce identical output.</w:t>
      </w:r>
    </w:p>
    <w:p>
      <w:pPr>
        <w:pStyle w:val="BodyText"/>
      </w:pPr>
      <w:r>
        <w:rPr>
          <w:bCs/>
          <w:b/>
        </w:rPr>
        <w:t xml:space="preserve">Remember:</w:t>
      </w:r>
      <w:r>
        <w:t xml:space="preserve"> </w:t>
      </w:r>
      <w:r>
        <w:t xml:space="preserve">you’re not testing whether the report is empty. You’re testing whether it’s</w:t>
      </w:r>
      <w:r>
        <w:t xml:space="preserve"> </w:t>
      </w:r>
      <w:r>
        <w:rPr>
          <w:bCs/>
          <w:b/>
        </w:rPr>
        <w:t xml:space="preserve">capable of not being empty</w:t>
      </w:r>
      <w:r>
        <w:t xml:space="preserve">.</w:t>
      </w:r>
    </w:p>
    <w:p>
      <w:r>
        <w:pict>
          <v:rect style="width:0;height:1.5pt" o:hralign="center" o:hrstd="t" o:hr="t"/>
        </w:pict>
      </w:r>
    </w:p>
    <w:bookmarkEnd w:id="32"/>
    <w:bookmarkStart w:id="33" w:name="book-12-the-four-day-clock"/>
    <w:p>
      <w:pPr>
        <w:pStyle w:val="Heading2"/>
      </w:pPr>
      <w:r>
        <w:t xml:space="preserve">BOOK 12 — THE FOUR-DAY CLOCK</w:t>
      </w:r>
    </w:p>
    <w:p>
      <w:pPr>
        <w:pStyle w:val="FirstParagraph"/>
      </w:pPr>
      <w:r>
        <w:rPr>
          <w:bCs/>
          <w:b/>
        </w:rPr>
        <w:t xml:space="preserve">Disclosure controls · cyber incident</w:t>
      </w:r>
      <w:r>
        <w:t xml:space="preserve"> </w:t>
      </w:r>
      <w:r>
        <w:rPr>
          <w:iCs/>
          <w:i/>
        </w:rPr>
        <w:t xml:space="preserve">(anchor — covered at depth on Friday)</w:t>
      </w:r>
    </w:p>
    <w:p>
      <w:pPr>
        <w:pStyle w:val="BodyText"/>
      </w:pPr>
      <w:r>
        <w:t xml:space="preserve">A cybersecurity incident is detected, triaged and contained by a technically excellent security team, competently and fast.</w:t>
      </w:r>
    </w:p>
    <w:p>
      <w:pPr>
        <w:pStyle w:val="BodyText"/>
      </w:pPr>
      <w:r>
        <w:t xml:space="preserve">Then it sits. For twenty-three days. Because containment felt like closure, and nobody’s process said</w:t>
      </w:r>
      <w:r>
        <w:t xml:space="preserve"> </w:t>
      </w:r>
      <w:r>
        <w:rPr>
          <w:iCs/>
          <w:i/>
        </w:rPr>
        <w:t xml:space="preserve">“</w:t>
      </w:r>
      <w:r>
        <w:rPr>
          <w:iCs/>
          <w:i/>
        </w:rPr>
        <w:t xml:space="preserve">and now tell Legal and Finance.</w:t>
      </w:r>
      <w:r>
        <w:rPr>
          <w:iCs/>
          <w:i/>
        </w:rPr>
        <w:t xml:space="preserve">”</w:t>
      </w:r>
    </w:p>
    <w:p>
      <w:pPr>
        <w:pStyle w:val="BodyText"/>
      </w:pPr>
      <w:r>
        <w:rPr>
          <w:bCs/>
          <w:b/>
        </w:rPr>
        <w:t xml:space="preserve">What’s different:</w:t>
      </w:r>
      <w:r>
        <w:t xml:space="preserve"> </w:t>
      </w:r>
      <w:r>
        <w:t xml:space="preserve">the question changes. Everything so far has been</w:t>
      </w:r>
      <w:r>
        <w:t xml:space="preserve"> </w:t>
      </w:r>
      <w:r>
        <w:rPr>
          <w:iCs/>
          <w:i/>
        </w:rPr>
        <w:t xml:space="preserve">is the number right?</w:t>
      </w:r>
      <w:r>
        <w:t xml:space="preserve"> </w:t>
      </w:r>
      <w:r>
        <w:t xml:space="preserve">This is</w:t>
      </w:r>
      <w:r>
        <w:t xml:space="preserve"> </w:t>
      </w:r>
      <w:r>
        <w:rPr>
          <w:iCs/>
          <w:i/>
        </w:rPr>
        <w:t xml:space="preserve">did the company tell the people it is legally required to tell, within the time it is legally required to tell them?</w:t>
      </w:r>
    </w:p>
    <w:p>
      <w:pPr>
        <w:pStyle w:val="BodyText"/>
      </w:pPr>
      <w:r>
        <w:t xml:space="preserve">That’s</w:t>
      </w:r>
      <w:r>
        <w:t xml:space="preserve"> </w:t>
      </w:r>
      <w:r>
        <w:rPr>
          <w:bCs/>
          <w:b/>
        </w:rPr>
        <w:t xml:space="preserve">disclosure controls</w:t>
      </w:r>
      <w:r>
        <w:t xml:space="preserve"> </w:t>
      </w:r>
      <w:r>
        <w:t xml:space="preserve">— SOX 302 — rather than internal control over financial reporting — SOX 404.</w:t>
      </w:r>
    </w:p>
    <w:p>
      <w:pPr>
        <w:pStyle w:val="BodyText"/>
      </w:pPr>
      <w:r>
        <w:rPr>
          <w:bCs/>
          <w:b/>
        </w:rPr>
        <w:t xml:space="preserve">Remember:</w:t>
      </w:r>
      <w:r>
        <w:t xml:space="preserve"> </w:t>
      </w:r>
      <w:r>
        <w:t xml:space="preserve">the four-day clock does not start when the incident happens, or when IT contains it. It starts when the company</w:t>
      </w:r>
      <w:r>
        <w:t xml:space="preserve"> </w:t>
      </w:r>
      <w:r>
        <w:rPr>
          <w:bCs/>
          <w:b/>
        </w:rPr>
        <w:t xml:space="preserve">determines materiality</w:t>
      </w:r>
      <w:r>
        <w:t xml:space="preserve">. So the control that actually matters is the one that gets the incident in front of the people who can make that determination.</w:t>
      </w:r>
    </w:p>
    <w:p>
      <w:r>
        <w:pict>
          <v:rect style="width:0;height:1.5pt" o:hralign="center" o:hrstd="t" o:hr="t"/>
        </w:pict>
      </w:r>
    </w:p>
    <w:bookmarkEnd w:id="33"/>
    <w:bookmarkStart w:id="34" w:name="book-6-the-other-ledger"/>
    <w:p>
      <w:pPr>
        <w:pStyle w:val="Heading2"/>
      </w:pPr>
      <w:r>
        <w:t xml:space="preserve">BOOK 6 — THE OTHER LEDGER</w:t>
      </w:r>
    </w:p>
    <w:p>
      <w:pPr>
        <w:pStyle w:val="FirstParagraph"/>
      </w:pPr>
      <w:r>
        <w:rPr>
          <w:bCs/>
          <w:b/>
        </w:rPr>
        <w:t xml:space="preserve">R2R · acquisition scoping</w:t>
      </w:r>
    </w:p>
    <w:p>
      <w:pPr>
        <w:pStyle w:val="BodyText"/>
      </w:pPr>
      <w:r>
        <w:t xml:space="preserve">Thornfield’s first acquisition brings in a company with nine</w:t>
      </w:r>
      <w:r>
        <w:t xml:space="preserve"> </w:t>
      </w:r>
      <w:r>
        <w:t xml:space="preserve">“</w:t>
      </w:r>
      <w:r>
        <w:t xml:space="preserve">clean</w:t>
      </w:r>
      <w:r>
        <w:t xml:space="preserve">”</w:t>
      </w:r>
      <w:r>
        <w:t xml:space="preserve"> </w:t>
      </w:r>
      <w:r>
        <w:t xml:space="preserve">years and no real control behind them.</w:t>
      </w:r>
    </w:p>
    <w:p>
      <w:pPr>
        <w:pStyle w:val="BodyText"/>
      </w:pPr>
      <w:r>
        <w:rPr>
          <w:bCs/>
          <w:b/>
        </w:rPr>
        <w:t xml:space="preserve">What’s different:</w:t>
      </w:r>
      <w:r>
        <w:t xml:space="preserve"> </w:t>
      </w:r>
      <w:r>
        <w:rPr>
          <w:bCs/>
          <w:b/>
        </w:rPr>
        <w:t xml:space="preserve">scoping and opening balances.</w:t>
      </w:r>
      <w:r>
        <w:t xml:space="preserve"> </w:t>
      </w:r>
      <w:r>
        <w:t xml:space="preserve">An acquired entity arrives with a history nobody tested. Two separate questions follow. Do its controls now form part of the certification scope? And can the opening balances brought into the group be relied on at all?</w:t>
      </w:r>
    </w:p>
    <w:p>
      <w:pPr>
        <w:pStyle w:val="BodyText"/>
      </w:pPr>
      <w:r>
        <w:rPr>
          <w:bCs/>
          <w:b/>
        </w:rPr>
        <w:t xml:space="preserve">Remember:</w:t>
      </w:r>
      <w:r>
        <w:t xml:space="preserve"> </w:t>
      </w:r>
      <w:r>
        <w:t xml:space="preserve">regulators allow a defined period to bring a newly acquired business into scope. That’s an accommodation, not permission to ignore it — and the disclosure of the exclusion has to be right.</w:t>
      </w:r>
    </w:p>
    <w:p>
      <w:r>
        <w:pict>
          <v:rect style="width:0;height:1.5pt" o:hralign="center" o:hrstd="t" o:hr="t"/>
        </w:pict>
      </w:r>
    </w:p>
    <w:bookmarkEnd w:id="34"/>
    <w:bookmarkStart w:id="35" w:name="book-9-the-tip-line"/>
    <w:p>
      <w:pPr>
        <w:pStyle w:val="Heading2"/>
      </w:pPr>
      <w:r>
        <w:t xml:space="preserve">BOOK 9 — THE TIP LINE</w:t>
      </w:r>
    </w:p>
    <w:p>
      <w:pPr>
        <w:pStyle w:val="FirstParagraph"/>
      </w:pPr>
      <w:r>
        <w:rPr>
          <w:bCs/>
          <w:b/>
        </w:rPr>
        <w:t xml:space="preserve">Governance · investigation conduct</w:t>
      </w:r>
    </w:p>
    <w:p>
      <w:pPr>
        <w:pStyle w:val="BodyText"/>
      </w:pPr>
      <w:r>
        <w:t xml:space="preserve">An anonymous hotline call tests whether</w:t>
      </w:r>
      <w:r>
        <w:t xml:space="preserve"> </w:t>
      </w:r>
      <w:r>
        <w:t xml:space="preserve">“</w:t>
      </w:r>
      <w:r>
        <w:t xml:space="preserve">write it down as you find it</w:t>
      </w:r>
      <w:r>
        <w:t xml:space="preserve">”</w:t>
      </w:r>
      <w:r>
        <w:t xml:space="preserve"> </w:t>
      </w:r>
      <w:r>
        <w:t xml:space="preserve">holds when the finding becomes genuinely uncomfortable.</w:t>
      </w:r>
    </w:p>
    <w:p>
      <w:pPr>
        <w:pStyle w:val="BodyText"/>
      </w:pPr>
      <w:r>
        <w:rPr>
          <w:bCs/>
          <w:b/>
        </w:rPr>
        <w:t xml:space="preserve">What’s different:</w:t>
      </w:r>
      <w:r>
        <w:t xml:space="preserve"> </w:t>
      </w:r>
      <w:r>
        <w:t xml:space="preserve">this Book is barely technical. It’s about</w:t>
      </w:r>
      <w:r>
        <w:t xml:space="preserve"> </w:t>
      </w:r>
      <w:r>
        <w:rPr>
          <w:bCs/>
          <w:b/>
        </w:rPr>
        <w:t xml:space="preserve">your conduct</w:t>
      </w:r>
      <w:r>
        <w:t xml:space="preserve"> </w:t>
      </w:r>
      <w:r>
        <w:t xml:space="preserve">— investigation independence, evidence preservation, who may and may not be told, and the fact that once an allegation exists, your normally collaborative relationship with a process owner may have to change without you being able to explain why.</w:t>
      </w:r>
    </w:p>
    <w:p>
      <w:pPr>
        <w:pStyle w:val="BodyText"/>
      </w:pPr>
      <w:r>
        <w:rPr>
          <w:bCs/>
          <w:b/>
        </w:rPr>
        <w:t xml:space="preserve">Remember:</w:t>
      </w:r>
      <w:r>
        <w:t xml:space="preserve"> </w:t>
      </w:r>
      <w:r>
        <w:t xml:space="preserve">in an allegation context,</w:t>
      </w:r>
      <w:r>
        <w:t xml:space="preserve"> </w:t>
      </w:r>
      <w:r>
        <w:rPr>
          <w:iCs/>
          <w:i/>
        </w:rPr>
        <w:t xml:space="preserve">who changed what and when</w:t>
      </w:r>
      <w:r>
        <w:t xml:space="preserve"> </w:t>
      </w:r>
      <w:r>
        <w:t xml:space="preserve">becomes the whole question.</w:t>
      </w:r>
    </w:p>
    <w:p>
      <w:r>
        <w:pict>
          <v:rect style="width:0;height:1.5pt" o:hralign="center" o:hrstd="t" o:hr="t"/>
        </w:pict>
      </w:r>
    </w:p>
    <w:bookmarkEnd w:id="35"/>
    <w:bookmarkStart w:id="36" w:name="book-15-the-risk-register"/>
    <w:p>
      <w:pPr>
        <w:pStyle w:val="Heading2"/>
      </w:pPr>
      <w:r>
        <w:t xml:space="preserve">BOOK 15 — THE RISK REGISTER</w:t>
      </w:r>
    </w:p>
    <w:p>
      <w:pPr>
        <w:pStyle w:val="FirstParagraph"/>
      </w:pPr>
      <w:r>
        <w:rPr>
          <w:bCs/>
          <w:b/>
        </w:rPr>
        <w:t xml:space="preserve">GRC platform · Risk Management</w:t>
      </w:r>
    </w:p>
    <w:p>
      <w:pPr>
        <w:pStyle w:val="BodyText"/>
      </w:pPr>
      <w:r>
        <w:t xml:space="preserve">A risk marked</w:t>
      </w:r>
      <w:r>
        <w:t xml:space="preserve"> </w:t>
      </w:r>
      <w:r>
        <w:t xml:space="preserve">“</w:t>
      </w:r>
      <w:r>
        <w:t xml:space="preserve">mitigated,</w:t>
      </w:r>
      <w:r>
        <w:t xml:space="preserve">”</w:t>
      </w:r>
      <w:r>
        <w:t xml:space="preserve"> </w:t>
      </w:r>
      <w:r>
        <w:t xml:space="preserve">with a green status, pointing at a control that was never real.</w:t>
      </w:r>
    </w:p>
    <w:p>
      <w:pPr>
        <w:pStyle w:val="BodyText"/>
      </w:pPr>
      <w:r>
        <w:rPr>
          <w:bCs/>
          <w:b/>
        </w:rPr>
        <w:t xml:space="preserve">What’s different:</w:t>
      </w:r>
      <w:r>
        <w:t xml:space="preserve"> </w:t>
      </w:r>
      <w:r>
        <w:rPr>
          <w:bCs/>
          <w:b/>
        </w:rPr>
        <w:t xml:space="preserve">the register is not evidence.</w:t>
      </w:r>
      <w:r>
        <w:t xml:space="preserve"> </w:t>
      </w:r>
      <w:r>
        <w:t xml:space="preserve">GRC Risk Management gives you a beautiful workbench full of risks with green statuses. Every green status is an</w:t>
      </w:r>
      <w:r>
        <w:t xml:space="preserve"> </w:t>
      </w:r>
      <w:r>
        <w:rPr>
          <w:iCs/>
          <w:i/>
        </w:rPr>
        <w:t xml:space="preserve">assertion</w:t>
      </w:r>
      <w:r>
        <w:t xml:space="preserve">. It has to trace to a control that exists, is documented, and has been tested.</w:t>
      </w:r>
    </w:p>
    <w:p>
      <w:pPr>
        <w:pStyle w:val="BodyText"/>
      </w:pPr>
      <w:r>
        <w:rPr>
          <w:bCs/>
          <w:b/>
        </w:rPr>
        <w:t xml:space="preserve">Remember:</w:t>
      </w:r>
      <w:r>
        <w:t xml:space="preserve"> </w:t>
      </w:r>
      <w:r>
        <w:t xml:space="preserve">half the value of this Book is learning to distrust a dashboard. Follow the pointer, every time, to the thing it points at.</w:t>
      </w:r>
    </w:p>
    <w:p>
      <w:r>
        <w:pict>
          <v:rect style="width:0;height:1.5pt" o:hralign="center" o:hrstd="t" o:hr="t"/>
        </w:pict>
      </w:r>
    </w:p>
    <w:bookmarkEnd w:id="36"/>
    <w:bookmarkStart w:id="37" w:name="book-10-the-signature-page"/>
    <w:p>
      <w:pPr>
        <w:pStyle w:val="Heading2"/>
      </w:pPr>
      <w:r>
        <w:t xml:space="preserve">BOOK 10 — THE SIGNATURE PAGE</w:t>
      </w:r>
    </w:p>
    <w:p>
      <w:pPr>
        <w:pStyle w:val="FirstParagraph"/>
      </w:pPr>
      <w:r>
        <w:rPr>
          <w:bCs/>
          <w:b/>
        </w:rPr>
        <w:t xml:space="preserve">Governance · deficiency aggregation</w:t>
      </w:r>
    </w:p>
    <w:p>
      <w:pPr>
        <w:pStyle w:val="BodyText"/>
      </w:pPr>
      <w:r>
        <w:t xml:space="preserve">Three years of the same story, seen from the desk where the certification actually gets signed.</w:t>
      </w:r>
    </w:p>
    <w:p>
      <w:pPr>
        <w:pStyle w:val="BodyText"/>
      </w:pPr>
      <w:r>
        <w:rPr>
          <w:bCs/>
          <w:b/>
        </w:rPr>
        <w:t xml:space="preserve">What’s different:</w:t>
      </w:r>
      <w:r>
        <w:t xml:space="preserve"> </w:t>
      </w:r>
      <w:r>
        <w:t xml:space="preserve">almost no transaction codes, deliberately. It’s about</w:t>
      </w:r>
      <w:r>
        <w:t xml:space="preserve"> </w:t>
      </w:r>
      <w:r>
        <w:rPr>
          <w:bCs/>
          <w:b/>
        </w:rPr>
        <w:t xml:space="preserve">aggregation</w:t>
      </w:r>
      <w:r>
        <w:t xml:space="preserve"> </w:t>
      </w:r>
      <w:r>
        <w:t xml:space="preserve">— how individually unremarkable deficiencies combine into a significant deficiency, and how significant deficiencies combine into a material weakness.</w:t>
      </w:r>
    </w:p>
    <w:p>
      <w:pPr>
        <w:pStyle w:val="BodyText"/>
      </w:pPr>
      <w:r>
        <w:rPr>
          <w:bCs/>
          <w:b/>
        </w:rPr>
        <w:t xml:space="preserve">Remember:</w:t>
      </w:r>
      <w:r>
        <w:t xml:space="preserve"> </w:t>
      </w:r>
      <w:r>
        <w:t xml:space="preserve">that judgement is qualitative as well as numerical. A small deficiency in an area with fraud potential, or one suggesting management override, can outweigh a numerically larger one somewhere boring.</w:t>
      </w:r>
    </w:p>
    <w:p>
      <w:r>
        <w:pict>
          <v:rect style="width:0;height:1.5pt" o:hralign="center" o:hrstd="t" o:hr="t"/>
        </w:pict>
      </w:r>
    </w:p>
    <w:bookmarkEnd w:id="37"/>
    <w:bookmarkStart w:id="38" w:name="book-11-the-comment-letter"/>
    <w:p>
      <w:pPr>
        <w:pStyle w:val="Heading2"/>
      </w:pPr>
      <w:r>
        <w:t xml:space="preserve">BOOK 11 — THE COMMENT LETTER</w:t>
      </w:r>
    </w:p>
    <w:p>
      <w:pPr>
        <w:pStyle w:val="FirstParagraph"/>
      </w:pPr>
      <w:r>
        <w:rPr>
          <w:bCs/>
          <w:b/>
        </w:rPr>
        <w:t xml:space="preserve">Governance · regulator scrutiny</w:t>
      </w:r>
    </w:p>
    <w:p>
      <w:pPr>
        <w:pStyle w:val="BodyText"/>
      </w:pPr>
      <w:r>
        <w:t xml:space="preserve">Nadia moves into Grace’s old chair. An SEC comment letter arrives and tests two years of documentation discipline.</w:t>
      </w:r>
    </w:p>
    <w:p>
      <w:pPr>
        <w:pStyle w:val="BodyText"/>
      </w:pPr>
      <w:r>
        <w:rPr>
          <w:bCs/>
          <w:b/>
        </w:rPr>
        <w:t xml:space="preserve">What’s different:</w:t>
      </w:r>
      <w:r>
        <w:t xml:space="preserve"> </w:t>
      </w:r>
      <w:r>
        <w:t xml:space="preserve">it tests</w:t>
      </w:r>
      <w:r>
        <w:t xml:space="preserve"> </w:t>
      </w:r>
      <w:r>
        <w:rPr>
          <w:bCs/>
          <w:b/>
        </w:rPr>
        <w:t xml:space="preserve">the past, and you can’t change the past.</w:t>
      </w:r>
      <w:r>
        <w:t xml:space="preserve"> </w:t>
      </w:r>
      <w:r>
        <w:t xml:space="preserve">When a regulator asks a question about a prior period, your entire answer is whatever you happened to write down at the time.</w:t>
      </w:r>
    </w:p>
    <w:p>
      <w:pPr>
        <w:pStyle w:val="BodyText"/>
      </w:pPr>
      <w:r>
        <w:t xml:space="preserve">Not what you remember. Not what you meant. What is in the file.</w:t>
      </w:r>
    </w:p>
    <w:p>
      <w:pPr>
        <w:pStyle w:val="BodyText"/>
      </w:pPr>
      <w:r>
        <w:rPr>
          <w:bCs/>
          <w:b/>
        </w:rPr>
        <w:t xml:space="preserve">Remember:</w:t>
      </w:r>
      <w:r>
        <w:t xml:space="preserve"> </w:t>
      </w:r>
      <w:r>
        <w:t xml:space="preserve">this is the same lesson as Nadia’s rule on day one of Book 1 — arriving three years later, with a regulator attached. That isn’t an accident in how this library was written.</w:t>
      </w:r>
    </w:p>
    <w:p>
      <w:r>
        <w:pict>
          <v:rect style="width:0;height:1.5pt" o:hralign="center" o:hrstd="t" o:hr="t"/>
        </w:pict>
      </w:r>
    </w:p>
    <w:bookmarkEnd w:id="38"/>
    <w:bookmarkEnd w:id="39"/>
    <w:bookmarkStart w:id="40" w:name="before-you-come-to-class"/>
    <w:p>
      <w:pPr>
        <w:pStyle w:val="Heading1"/>
      </w:pPr>
      <w:r>
        <w:t xml:space="preserve">Before you come to class</w:t>
      </w:r>
    </w:p>
    <w:p>
      <w:pPr>
        <w:numPr>
          <w:ilvl w:val="0"/>
          <w:numId w:val="1001"/>
        </w:numPr>
        <w:pStyle w:val="Compact"/>
      </w:pPr>
      <w:r>
        <w:rPr>
          <w:bCs/>
          <w:b/>
        </w:rPr>
        <w:t xml:space="preserve">Book 3 read in full.</w:t>
      </w:r>
    </w:p>
    <w:p>
      <w:pPr>
        <w:numPr>
          <w:ilvl w:val="0"/>
          <w:numId w:val="1001"/>
        </w:numPr>
        <w:pStyle w:val="Compact"/>
      </w:pPr>
      <w:r>
        <w:rPr>
          <w:bCs/>
          <w:b/>
        </w:rPr>
        <w:t xml:space="preserve">The other seven read once.</w:t>
      </w:r>
    </w:p>
    <w:p>
      <w:pPr>
        <w:numPr>
          <w:ilvl w:val="0"/>
          <w:numId w:val="1001"/>
        </w:numPr>
        <w:pStyle w:val="Compact"/>
      </w:pPr>
      <w:r>
        <w:rPr>
          <w:bCs/>
          <w:b/>
        </w:rPr>
        <w:t xml:space="preserve">A thought</w:t>
      </w:r>
      <w:r>
        <w:t xml:space="preserve"> </w:t>
      </w:r>
      <w:r>
        <w:t xml:space="preserve">on how you’d detect a rule that stopped checking.</w:t>
      </w:r>
    </w:p>
    <w:p>
      <w:pPr>
        <w:numPr>
          <w:ilvl w:val="0"/>
          <w:numId w:val="1001"/>
        </w:numPr>
        <w:pStyle w:val="Compact"/>
      </w:pPr>
      <w:r>
        <w:rPr>
          <w:bCs/>
          <w:b/>
        </w:rPr>
        <w:t xml:space="preserve">Both Planning Cards</w:t>
      </w:r>
      <w:r>
        <w:t xml:space="preserve"> </w:t>
      </w:r>
      <w:r>
        <w:t xml:space="preserve">from Sessions 1 and 2.</w:t>
      </w:r>
    </w:p>
    <w:p>
      <w:pPr>
        <w:pStyle w:val="FirstParagraph"/>
      </w:pPr>
      <w:r>
        <w:rPr>
          <w:bCs/>
          <w:b/>
        </w:rPr>
        <w:t xml:space="preserve">And a heads-up:</w:t>
      </w:r>
      <w:r>
        <w:t xml:space="preserve"> </w:t>
      </w:r>
      <w:r>
        <w:t xml:space="preserve">the lab pack arrives after Friday’s session. Test your SAP login the same evening, not on Monday.</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Pack 3 — Before Friday, Week 1</dc:title>
  <dc:creator>SAP SOX / ITGC Controls — Course 1: The Full Sweep · Thornfield Industrial Group</dc:creator>
  <cp:keywords/>
  <dcterms:created xsi:type="dcterms:W3CDTF">2026-09-05T23:33:23Z</dcterms:created>
  <dcterms:modified xsi:type="dcterms:W3CDTF">2026-09-05T23:33:23Z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Module 3 · Record to Report, the GRC Platform &amp; Governance</vt:lpwstr>
  </property>
</Properties>
</file>