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Reading</w:t>
      </w:r>
      <w:r>
        <w:t xml:space="preserve"> </w:t>
      </w:r>
      <w:r>
        <w:t xml:space="preserve">Pack</w:t>
      </w:r>
      <w:r>
        <w:t xml:space="preserve"> </w:t>
      </w:r>
      <w: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t xml:space="preserve">Before</w:t>
      </w:r>
      <w:r>
        <w:t xml:space="preserve"> </w:t>
      </w:r>
      <w:r>
        <w:t xml:space="preserve">Wednesday,</w:t>
      </w:r>
      <w:r>
        <w:t xml:space="preserve"> </w:t>
      </w:r>
      <w:r>
        <w:t xml:space="preserve">Week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Module</w:t>
      </w:r>
      <w:r>
        <w:t xml:space="preserve"> </w:t>
      </w:r>
      <w:r>
        <w:t xml:space="preserve">2</w:t>
      </w:r>
      <w:r>
        <w:t xml:space="preserve"> </w:t>
      </w:r>
      <w:r>
        <w:t xml:space="preserve">hands</w:t>
      </w:r>
      <w:r>
        <w:t xml:space="preserve"> </w:t>
      </w:r>
      <w:r>
        <w:t xml:space="preserve">on</w:t>
      </w:r>
      <w:r>
        <w:t xml:space="preserve"> </w:t>
      </w:r>
      <w:r>
        <w:t xml:space="preserve">·</w:t>
      </w:r>
      <w:r>
        <w:t xml:space="preserve"> </w:t>
      </w:r>
      <w:r>
        <w:t xml:space="preserve">Books</w:t>
      </w:r>
      <w:r>
        <w:t xml:space="preserve"> </w:t>
      </w:r>
      <w:r>
        <w:t xml:space="preserve">2,</w:t>
      </w:r>
      <w:r>
        <w:t xml:space="preserve"> </w:t>
      </w:r>
      <w:r>
        <w:t xml:space="preserve">18</w:t>
      </w:r>
      <w:r>
        <w:t xml:space="preserve"> </w:t>
      </w:r>
      <w:r>
        <w:t xml:space="preserve">and</w:t>
      </w:r>
      <w:r>
        <w:t xml:space="preserve"> </w:t>
      </w:r>
      <w:r>
        <w:t xml:space="preserve">19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1: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Sweep</w:t>
      </w:r>
      <w:r>
        <w:t xml:space="preserve"> </w:t>
      </w:r>
      <w:r>
        <w:t xml:space="preserve">·</w:t>
      </w:r>
      <w:r>
        <w:t xml:space="preserve"> </w:t>
      </w:r>
      <w:r>
        <w:t xml:space="preserve">Thornfield</w:t>
      </w:r>
      <w:r>
        <w:t xml:space="preserve"> </w:t>
      </w:r>
      <w:r>
        <w:t xml:space="preserve">Industrial</w:t>
      </w:r>
      <w:r>
        <w:t xml:space="preserve"> </w:t>
      </w:r>
      <w:r>
        <w:t xml:space="preserve">Group</w:t>
      </w:r>
    </w:p>
    <w:bookmarkStart w:id="20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t xml:space="preserve">Same as Monday. You’re reading screens, not stories.</w:t>
      </w:r>
    </w:p>
    <w:p>
      <w:pPr>
        <w:pStyle w:val="BodyText"/>
      </w:pPr>
      <w:r>
        <w:rPr>
          <w:bCs/>
          <w:b/>
        </w:rPr>
        <w:t xml:space="preserve">Total time: about 45 minutes.</w:t>
      </w:r>
    </w:p>
    <w:p>
      <w:pPr>
        <w:pStyle w:val="BodyText"/>
      </w:pPr>
      <w:r>
        <w:rPr>
          <w:bCs/>
          <w:b/>
        </w:rPr>
        <w:t xml:space="preserve">Before Wednesday: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Book 17 workpaper submitted.</w:t>
      </w:r>
      <w:r>
        <w:t xml:space="preserve"> </w:t>
      </w:r>
      <w:r>
        <w:t xml:space="preserve">One workpaper, done properly.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Planning Cards</w:t>
      </w:r>
      <w:r>
        <w:t xml:space="preserve"> </w:t>
      </w:r>
      <w:r>
        <w:t xml:space="preserve">for Books 2, 18 and 19.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windows</w:t>
      </w:r>
      <w:r>
        <w:t xml:space="preserve"> </w:t>
      </w:r>
      <w:r>
        <w:t xml:space="preserve">set up again.</w:t>
      </w:r>
    </w:p>
    <w:p>
      <w:pPr>
        <w:pStyle w:val="FirstParagraph"/>
      </w:pPr>
      <w:r>
        <w:rPr>
          <w:bCs/>
          <w:b/>
        </w:rPr>
        <w:t xml:space="preserve">Same two rules.</w:t>
      </w:r>
      <w:r>
        <w:t xml:space="preserve"> </w:t>
      </w:r>
      <w:r>
        <w:t xml:space="preserve">Display only. Planning Card before transaction code.</w:t>
      </w:r>
    </w:p>
    <w:p>
      <w:r>
        <w:pict>
          <v:rect style="width:0;height:1.5pt" o:hralign="center" o:hrstd="t" o:hr="t"/>
        </w:pict>
      </w:r>
    </w:p>
    <w:bookmarkEnd w:id="20"/>
    <w:bookmarkStart w:id="21" w:name="how-this-pack-works-with-the-app"/>
    <w:p>
      <w:pPr>
        <w:pStyle w:val="Heading1"/>
      </w:pPr>
      <w:r>
        <w:t xml:space="preserve">How this pack works with the app</w:t>
      </w:r>
    </w:p>
    <w:p>
      <w:pPr>
        <w:pStyle w:val="FirstParagraph"/>
      </w:pPr>
      <w:r>
        <w:rPr>
          <w:bCs/>
          <w:b/>
        </w:rPr>
        <w:t xml:space="preserve">You will run these tests in the SAP Testing Execution Guide app.</w:t>
      </w:r>
      <w:r>
        <w:t xml:space="preserve"> </w:t>
      </w:r>
      <w:r>
        <w:t xml:space="preserve">The app gives you the screens. This pack gives you what the app has no field for.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The app gives you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This pack 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 BRIEF</w:t>
            </w:r>
            <w:r>
              <w:t xml:space="preserve"> </w:t>
            </w:r>
            <w:r>
              <w:t xml:space="preserve">— the task, in a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control objective and the business risk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 STEPS</w:t>
            </w:r>
            <w:r>
              <w:t xml:space="preserve"> </w:t>
            </w:r>
            <w:r>
              <w:t xml:space="preserve">— the exact screens and clicks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population, and how you know it’s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EXHIBIT — EVIDENCE LOG</w:t>
            </w:r>
            <w:r>
              <w:t xml:space="preserve"> </w:t>
            </w:r>
            <w:r>
              <w:t xml:space="preserve">— what to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goes:</w:t>
            </w:r>
            <w:r>
              <w:t xml:space="preserve"> </w:t>
            </w:r>
            <w:r>
              <w:rPr>
                <w:bCs/>
                <w:b/>
              </w:rPr>
              <w:t xml:space="preserve">your workpaper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CAUTION</w:t>
            </w:r>
            <w:r>
              <w:t xml:space="preserve"> </w:t>
            </w:r>
            <w:r>
              <w:t xml:space="preserve">— on most Books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deliberate mistakes, and what a reviewer will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conclude, and in what words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things about the app worth knowing before Monday.</w:t>
      </w:r>
    </w:p>
    <w:p>
      <w:pPr>
        <w:pStyle w:val="BodyText"/>
      </w:pPr>
      <w:r>
        <w:rPr>
          <w:bCs/>
          <w:b/>
        </w:rPr>
        <w:t xml:space="preserve">The counter lies about Book numbers.</w:t>
      </w:r>
      <w:r>
        <w:t xml:space="preserve"> </w:t>
      </w:r>
      <w:r>
        <w:t xml:space="preserve">Top right of a Book page shows something like</w:t>
      </w:r>
      <w:r>
        <w:t xml:space="preserve"> </w:t>
      </w:r>
      <w:r>
        <w:rPr>
          <w:rStyle w:val="VerbatimChar"/>
        </w:rPr>
        <w:t xml:space="preserve">BOOK 2 OF 22</w:t>
      </w:r>
      <w:r>
        <w:t xml:space="preserve">. That’s the Book’s</w:t>
      </w:r>
      <w:r>
        <w:t xml:space="preserve"> </w:t>
      </w:r>
      <w:r>
        <w:rPr>
          <w:bCs/>
          <w:b/>
        </w:rPr>
        <w:t xml:space="preserve">position in the app’s sequence</w:t>
      </w:r>
      <w:r>
        <w:t xml:space="preserve">, not its number — the header above it has the real one. Go by the header.</w:t>
      </w:r>
    </w:p>
    <w:p>
      <w:pPr>
        <w:pStyle w:val="BodyText"/>
      </w:pPr>
      <w:r>
        <w:rPr>
          <w:bCs/>
          <w:b/>
        </w:rPr>
        <w:t xml:space="preserve">Nothing you do in the app is stored except which Books you finished.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Not yet captured</w:t>
      </w:r>
      <w:r>
        <w:t xml:space="preserve"> </w:t>
      </w:r>
      <w:r>
        <w:t xml:space="preserve">slot is a caption, not an upload. There is no export.</w:t>
      </w:r>
      <w:r>
        <w:t xml:space="preserve"> </w:t>
      </w:r>
      <w:r>
        <w:rPr>
          <w:bCs/>
          <w:b/>
        </w:rPr>
        <w:t xml:space="preserve">Every screenshot goes into your own workpaper.</w:t>
      </w:r>
    </w:p>
    <w:p>
      <w:pPr>
        <w:pStyle w:val="BodyText"/>
      </w:pPr>
      <w:r>
        <w:rPr>
          <w:bCs/>
          <w:b/>
        </w:rPr>
        <w:t xml:space="preserve">The forward arrow at the bottom right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Finish this Book</w:t>
      </w:r>
      <w:r>
        <w:rPr>
          <w:bCs/>
          <w:b/>
        </w:rPr>
        <w:t xml:space="preserve">”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It looks identical to the Previous arrow beside it. Clicking it marks the Book complete.</w:t>
      </w:r>
    </w:p>
    <w:p>
      <w:r>
        <w:pict>
          <v:rect style="width:0;height:1.5pt" o:hralign="center" o:hrstd="t" o:hr="t"/>
        </w:pict>
      </w:r>
    </w:p>
    <w:bookmarkEnd w:id="21"/>
    <w:bookmarkStart w:id="22" w:name="todays-frame"/>
    <w:p>
      <w:pPr>
        <w:pStyle w:val="Heading1"/>
      </w:pPr>
      <w:r>
        <w:t xml:space="preserve">Today’s frame</w:t>
      </w:r>
    </w:p>
    <w:p>
      <w:pPr>
        <w:pStyle w:val="FirstParagraph"/>
      </w:pPr>
      <w:r>
        <w:t xml:space="preserve">Module 1 was about</w:t>
      </w:r>
      <w:r>
        <w:t xml:space="preserve"> </w:t>
      </w:r>
      <w:r>
        <w:rPr>
          <w:bCs/>
          <w:b/>
        </w:rPr>
        <w:t xml:space="preserve">state</w:t>
      </w:r>
      <w:r>
        <w:t xml:space="preserve"> </w:t>
      </w:r>
      <w:r>
        <w:t xml:space="preserve">— who holds what, right now.</w:t>
      </w:r>
    </w:p>
    <w:p>
      <w:pPr>
        <w:pStyle w:val="BodyText"/>
      </w:pPr>
      <w:r>
        <w:t xml:space="preserve">Module 2 is about</w:t>
      </w:r>
      <w:r>
        <w:t xml:space="preserve"> </w:t>
      </w:r>
      <w:r>
        <w:rPr>
          <w:bCs/>
          <w:b/>
        </w:rPr>
        <w:t xml:space="preserve">events over a period</w:t>
      </w:r>
      <w:r>
        <w:t xml:space="preserve">, and events have a property that state doesn’t.</w:t>
      </w:r>
    </w:p>
    <w:p>
      <w:pPr>
        <w:pStyle w:val="BodyText"/>
      </w:pPr>
      <w:r>
        <w:rPr>
          <w:bCs/>
          <w:b/>
        </w:rPr>
        <w:t xml:space="preserve">An event that never happened leaves no record of not happening.</w:t>
      </w:r>
    </w:p>
    <w:p>
      <w:pPr>
        <w:pStyle w:val="BodyText"/>
      </w:pPr>
      <w:r>
        <w:t xml:space="preserve">All three of Wednesday’s Books turn on that. In each one, the thing you’re hunting is an absence — and you have to construct a way to see it.</w:t>
      </w:r>
    </w:p>
    <w:p>
      <w:pPr>
        <w:numPr>
          <w:ilvl w:val="0"/>
          <w:numId w:val="1002"/>
        </w:numPr>
        <w:pStyle w:val="Compact"/>
      </w:pPr>
      <w:r>
        <w:t xml:space="preserve">Book 2: a change that</w:t>
      </w:r>
      <w:r>
        <w:t xml:space="preserve"> </w:t>
      </w:r>
      <w:r>
        <w:rPr>
          <w:bCs/>
          <w:b/>
        </w:rPr>
        <w:t xml:space="preserve">has no ticket</w:t>
      </w:r>
    </w:p>
    <w:p>
      <w:pPr>
        <w:numPr>
          <w:ilvl w:val="0"/>
          <w:numId w:val="1002"/>
        </w:numPr>
        <w:pStyle w:val="Compact"/>
      </w:pPr>
      <w:r>
        <w:t xml:space="preserve">Book 18: a night the backup</w:t>
      </w:r>
      <w:r>
        <w:t xml:space="preserve"> </w:t>
      </w:r>
      <w:r>
        <w:rPr>
          <w:bCs/>
          <w:b/>
        </w:rPr>
        <w:t xml:space="preserve">never ran</w:t>
      </w:r>
      <w:r>
        <w:t xml:space="preserve">, and a restoration test</w:t>
      </w:r>
      <w:r>
        <w:t xml:space="preserve"> </w:t>
      </w:r>
      <w:r>
        <w:rPr>
          <w:bCs/>
          <w:b/>
        </w:rPr>
        <w:t xml:space="preserve">that doesn’t exist</w:t>
      </w:r>
    </w:p>
    <w:p>
      <w:pPr>
        <w:numPr>
          <w:ilvl w:val="0"/>
          <w:numId w:val="1002"/>
        </w:numPr>
        <w:pStyle w:val="Compact"/>
      </w:pPr>
      <w:r>
        <w:t xml:space="preserve">Book 19: a message that</w:t>
      </w:r>
      <w:r>
        <w:t xml:space="preserve"> </w:t>
      </w:r>
      <w:r>
        <w:rPr>
          <w:bCs/>
          <w:b/>
        </w:rPr>
        <w:t xml:space="preserve">never arrived</w:t>
      </w:r>
    </w:p>
    <w:p>
      <w:r>
        <w:pict>
          <v:rect style="width:0;height:1.5pt" o:hralign="center" o:hrstd="t" o:hr="t"/>
        </w:pict>
      </w:r>
    </w:p>
    <w:bookmarkEnd w:id="22"/>
    <w:bookmarkStart w:id="30" w:name="book-2-the-emergency-change"/>
    <w:p>
      <w:pPr>
        <w:pStyle w:val="Heading1"/>
      </w:pPr>
      <w:r>
        <w:t xml:space="preserve">BOOK 2 — THE EMERGENCY CHANGE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did every change that reached production have an approval before it got there?</w:t>
      </w:r>
    </w:p>
    <w:bookmarkStart w:id="23" w:name="the-screens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Management System — and specifically the</w:t>
            </w:r>
            <w:r>
              <w:t xml:space="preserve"> </w:t>
            </w:r>
            <w:r>
              <w:rPr>
                <w:bCs/>
                <w:b/>
              </w:rPr>
              <w:t xml:space="preserve">import history for the production system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SE09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SE10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Transport organiser — open one transport and see its owner, release date, and</w:t>
            </w:r>
            <w:r>
              <w:t xml:space="preserve"> </w:t>
            </w:r>
            <w:r>
              <w:rPr>
                <w:bCs/>
                <w:b/>
              </w:rPr>
              <w:t xml:space="preserve">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tools and object-level searching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SCC4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SE06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Client settings and system change option — is production modifiable at all?</w:t>
            </w:r>
          </w:p>
        </w:tc>
      </w:tr>
    </w:tbl>
    <w:bookmarkEnd w:id="23"/>
    <w:bookmarkStart w:id="24" w:name="where-the-population-actually-comes-from"/>
    <w:p>
      <w:pPr>
        <w:pStyle w:val="Heading2"/>
      </w:pPr>
      <w:r>
        <w:t xml:space="preserve">Where the population actually comes from</w:t>
      </w:r>
    </w:p>
    <w:p>
      <w:pPr>
        <w:pStyle w:val="FirstParagraph"/>
      </w:pPr>
      <w:r>
        <w:rPr>
          <w:rStyle w:val="VerbatimChar"/>
        </w:rPr>
        <w:t xml:space="preserve">STMS</w:t>
      </w:r>
      <w:r>
        <w:t xml:space="preserve"> </w:t>
      </w:r>
      <w:r>
        <w:t xml:space="preserve">→ Import Overview → double-click the production system →</w:t>
      </w:r>
      <w:r>
        <w:t xml:space="preserve"> </w:t>
      </w:r>
      <w:r>
        <w:rPr>
          <w:bCs/>
          <w:b/>
        </w:rPr>
        <w:t xml:space="preserve">Import History</w:t>
      </w:r>
      <w:r>
        <w:t xml:space="preserve">.</w:t>
      </w:r>
    </w:p>
    <w:p>
      <w:pPr>
        <w:pStyle w:val="BodyText"/>
      </w:pPr>
      <w:r>
        <w:t xml:space="preserve">Be precise about what that is.</w:t>
      </w:r>
      <w:r>
        <w:t xml:space="preserve"> </w:t>
      </w:r>
      <w:r>
        <w:rPr>
          <w:bCs/>
          <w:b/>
        </w:rPr>
        <w:t xml:space="preserve">This is production’s own record of what was put into it.</w:t>
      </w:r>
    </w:p>
    <w:p>
      <w:pPr>
        <w:pStyle w:val="BodyText"/>
      </w:pPr>
      <w:r>
        <w:t xml:space="preserve">Not a request. Not a plan. Not a ticket.</w:t>
      </w:r>
      <w:r>
        <w:t xml:space="preserve"> </w:t>
      </w:r>
      <w:r>
        <w:rPr>
          <w:bCs/>
          <w:b/>
        </w:rPr>
        <w:t xml:space="preserve">What actually arrived.</w:t>
      </w:r>
    </w:p>
    <w:p>
      <w:pPr>
        <w:pStyle w:val="BodyText"/>
      </w:pPr>
      <w:r>
        <w:rPr>
          <w:bCs/>
          <w:b/>
        </w:rPr>
        <w:t xml:space="preserve">This is the population point of the whole Book, and your workpaper comes back if you get it wrong.</w:t>
      </w:r>
    </w:p>
    <w:p>
      <w:pPr>
        <w:pStyle w:val="BodyText"/>
      </w:pPr>
      <w:r>
        <w:t xml:space="preserve">The ticket system contains changes somebody remembered to raise a ticket for. Ilse’s six weekend transports were not in it —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Book.</w:t>
      </w:r>
    </w:p>
    <w:p>
      <w:pPr>
        <w:pStyle w:val="BodyText"/>
      </w:pPr>
      <w:r>
        <w:rPr>
          <w:bCs/>
          <w:b/>
        </w:rPr>
        <w:t xml:space="preserve">You cannot find an unapproved change in the list of approved changes.</w:t>
      </w:r>
    </w:p>
    <w:p>
      <w:pPr>
        <w:pStyle w:val="BodyText"/>
      </w:pPr>
      <w:r>
        <w:t xml:space="preserve">Population from the system. Comparison from the process. Never the reverse.</w:t>
      </w:r>
    </w:p>
    <w:bookmarkEnd w:id="24"/>
    <w:bookmarkStart w:id="25" w:name="reading-the-import-history"/>
    <w:p>
      <w:pPr>
        <w:pStyle w:val="Heading2"/>
      </w:pPr>
      <w:r>
        <w:t xml:space="preserve">Reading the import history</w:t>
      </w:r>
    </w:p>
    <w:p>
      <w:pPr>
        <w:pStyle w:val="FirstParagraph"/>
      </w:pPr>
      <w:r>
        <w:rPr>
          <w:bCs/>
          <w:b/>
        </w:rPr>
        <w:t xml:space="preserve">Three columns, plus one.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transport request</w:t>
      </w:r>
      <w:r>
        <w:t xml:space="preserve"> </w:t>
      </w:r>
      <w:r>
        <w:t xml:space="preserve">number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owner</w:t>
      </w:r>
      <w:r>
        <w:t xml:space="preserve"> </w:t>
      </w:r>
      <w:r>
        <w:t xml:space="preserve">— who created it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import date and time</w:t>
      </w:r>
    </w:p>
    <w:p>
      <w:pPr>
        <w:numPr>
          <w:ilvl w:val="0"/>
          <w:numId w:val="1003"/>
        </w:numPr>
        <w:pStyle w:val="Compact"/>
      </w:pPr>
      <w:r>
        <w:t xml:space="preserve">And the</w:t>
      </w:r>
      <w:r>
        <w:t xml:space="preserve"> </w:t>
      </w:r>
      <w:r>
        <w:rPr>
          <w:bCs/>
          <w:b/>
        </w:rPr>
        <w:t xml:space="preserve">return code</w:t>
      </w:r>
      <w:r>
        <w:t xml:space="preserve">: zero is clean, four is warnings,</w:t>
      </w:r>
      <w:r>
        <w:t xml:space="preserve"> </w:t>
      </w:r>
      <w:r>
        <w:rPr>
          <w:bCs/>
          <w:b/>
        </w:rPr>
        <w:t xml:space="preserve">eight or above means something failed</w:t>
      </w:r>
    </w:p>
    <w:p>
      <w:pPr>
        <w:pStyle w:val="FirstParagraph"/>
      </w:pPr>
      <w:r>
        <w:t xml:space="preserve">A transport that imported with return code eight is a change that half-happened. Half-happened changes are their own kind of finding.</w:t>
      </w:r>
    </w:p>
    <w:bookmarkEnd w:id="25"/>
    <w:bookmarkStart w:id="26" w:name="set-your-period-explicitly"/>
    <w:p>
      <w:pPr>
        <w:pStyle w:val="Heading2"/>
      </w:pPr>
      <w:r>
        <w:t xml:space="preserve">Set your period explicitly</w:t>
      </w:r>
    </w:p>
    <w:p>
      <w:pPr>
        <w:pStyle w:val="FirstParagraph"/>
      </w:pPr>
      <w:r>
        <w:t xml:space="preserve">The default view is not your period.</w:t>
      </w:r>
    </w:p>
    <w:p>
      <w:pPr>
        <w:pStyle w:val="BodyText"/>
      </w:pPr>
      <w:r>
        <w:t xml:space="preserve">Accept it and you’ve silently tested whatever range SAP felt like showing you.</w:t>
      </w:r>
    </w:p>
    <w:bookmarkEnd w:id="26"/>
    <w:bookmarkStart w:id="27" w:name="then-look-inside-one"/>
    <w:p>
      <w:pPr>
        <w:pStyle w:val="Heading2"/>
      </w:pPr>
      <w:r>
        <w:t xml:space="preserve">Then look inside one</w:t>
      </w:r>
    </w:p>
    <w:p>
      <w:pPr>
        <w:pStyle w:val="FirstParagraph"/>
      </w:pPr>
      <w:r>
        <w:rPr>
          <w:rStyle w:val="VerbatimChar"/>
        </w:rPr>
        <w:t xml:space="preserve">SE01</w:t>
      </w:r>
      <w:r>
        <w:t xml:space="preserve"> </w:t>
      </w:r>
      <w:r>
        <w:t xml:space="preserve">→ enter a transport number → display → expand the objects list.</w:t>
      </w:r>
    </w:p>
    <w:p>
      <w:pPr>
        <w:pStyle w:val="BodyText"/>
      </w:pPr>
      <w:r>
        <w:t xml:space="preserve">Here’s the owner, the release date, and — the part people skip —</w:t>
      </w:r>
      <w:r>
        <w:t xml:space="preserve"> </w:t>
      </w:r>
      <w:r>
        <w:rPr>
          <w:bCs/>
          <w:b/>
        </w:rPr>
        <w:t xml:space="preserve">the objects inside it</w:t>
      </w:r>
      <w:r>
        <w:t xml:space="preserve">. Programs, table entries, configuration objects.</w:t>
      </w:r>
    </w:p>
    <w:p>
      <w:pPr>
        <w:pStyle w:val="BodyText"/>
      </w:pPr>
      <w:r>
        <w:t xml:space="preserve">This is the extra test the story said Marcus owed. A transport that fixed a payment run is one thing. A transport that</w:t>
      </w:r>
      <w:r>
        <w:t xml:space="preserve"> </w:t>
      </w:r>
      <w:r>
        <w:rPr>
          <w:bCs/>
          <w:b/>
        </w:rPr>
        <w:t xml:space="preserve">also</w:t>
      </w:r>
      <w:r>
        <w:t xml:space="preserve"> </w:t>
      </w:r>
      <w:r>
        <w:t xml:space="preserve">changed a tolerance limit or switched off a validation is something else entirely.</w:t>
      </w:r>
    </w:p>
    <w:p>
      <w:pPr>
        <w:pStyle w:val="BodyText"/>
      </w:pPr>
      <w:r>
        <w:t xml:space="preserve">The only way to know which is to open it and look.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Emergency change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explains why the process was bypassed. It doesn’t describe what was moved.</w:t>
      </w:r>
    </w:p>
    <w:bookmarkEnd w:id="27"/>
    <w:bookmarkStart w:id="28" w:name="Xc55ac692fb2103a5f241d72c6651f2512847612"/>
    <w:p>
      <w:pPr>
        <w:pStyle w:val="Heading2"/>
      </w:pPr>
      <w:r>
        <w:t xml:space="preserve">Three exception classes — three different findings</w:t>
      </w:r>
    </w:p>
    <w:p>
      <w:pPr>
        <w:pStyle w:val="FirstParagraph"/>
      </w:pPr>
      <w:r>
        <w:t xml:space="preserve">Don’t lump these together.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Exception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ticket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Book 2 finding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Approval date after import date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Retrospective approval. Acceptable if an emergency process exists. A finding if it doesn’t.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 by a user outside the authorised Basis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access</w:t>
            </w:r>
            <w:r>
              <w:t xml:space="preserve"> </w:t>
            </w:r>
            <w:r>
              <w:t xml:space="preserve">finding hiding inside a change management test</w:t>
            </w:r>
          </w:p>
        </w:tc>
      </w:tr>
    </w:tbl>
    <w:bookmarkEnd w:id="28"/>
    <w:bookmarkStart w:id="29" w:name="what-youll-produce-on-wednesday"/>
    <w:p>
      <w:pPr>
        <w:pStyle w:val="Heading2"/>
      </w:pPr>
      <w:r>
        <w:t xml:space="preserve">What you’ll produce on Wednesday</w:t>
      </w:r>
    </w:p>
    <w:p>
      <w:pPr>
        <w:numPr>
          <w:ilvl w:val="0"/>
          <w:numId w:val="1004"/>
        </w:numPr>
        <w:pStyle w:val="Compact"/>
      </w:pPr>
      <w:r>
        <w:t xml:space="preserve">Your population extract with the</w:t>
      </w:r>
      <w:r>
        <w:t xml:space="preserve"> </w:t>
      </w:r>
      <w:r>
        <w:rPr>
          <w:bCs/>
          <w:b/>
        </w:rPr>
        <w:t xml:space="preserve">selection criteria visible</w:t>
      </w:r>
    </w:p>
    <w:p>
      <w:pPr>
        <w:numPr>
          <w:ilvl w:val="0"/>
          <w:numId w:val="1004"/>
        </w:numPr>
        <w:pStyle w:val="Compact"/>
      </w:pPr>
      <w:r>
        <w:t xml:space="preserve">For one transport, a one-line description of what it actually contained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book-18-the-untested-backup"/>
    <w:p>
      <w:pPr>
        <w:pStyle w:val="Heading1"/>
      </w:pPr>
      <w:r>
        <w:t xml:space="preserve">BOOK 18 — THE UNTESTED BACKUP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can the data actually be recovered?</w:t>
      </w:r>
    </w:p>
    <w:bookmarkStart w:id="31" w:name="the-screens-1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planning calendar — scheduled database jobs, laid out as a calendar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DB12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Backup monitoring — backup history, dates, times, completion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overview — the wider background job picture, with status filters</w:t>
            </w:r>
          </w:p>
        </w:tc>
      </w:tr>
    </w:tbl>
    <w:bookmarkEnd w:id="31"/>
    <w:bookmarkStart w:id="32" w:name="db13-look-at-the-shape-not-the-entries"/>
    <w:p>
      <w:pPr>
        <w:pStyle w:val="Heading2"/>
      </w:pPr>
      <w:r>
        <w:rPr>
          <w:rStyle w:val="VerbatimChar"/>
        </w:rPr>
        <w:t xml:space="preserve">DB13</w:t>
      </w:r>
      <w:r>
        <w:t xml:space="preserve"> </w:t>
      </w:r>
      <w:r>
        <w:t xml:space="preserve">— look at the shape, not the entries</w:t>
      </w:r>
    </w:p>
    <w:p>
      <w:pPr>
        <w:pStyle w:val="FirstParagraph"/>
      </w:pPr>
      <w:r>
        <w:t xml:space="preserve">This is one of the more useful screens in this Book, and the reason is visual.</w:t>
      </w:r>
    </w:p>
    <w:p>
      <w:pPr>
        <w:pStyle w:val="BodyText"/>
      </w:pPr>
      <w:r>
        <w:rPr>
          <w:bCs/>
          <w:b/>
        </w:rPr>
        <w:t xml:space="preserve">A night with no backup is a gap you can see.</w:t>
      </w:r>
    </w:p>
    <w:p>
      <w:pPr>
        <w:pStyle w:val="BodyText"/>
      </w:pPr>
      <w:r>
        <w:t xml:space="preserve">A row is</w:t>
      </w:r>
      <w:r>
        <w:t xml:space="preserve"> </w:t>
      </w:r>
      <w:r>
        <w:rPr>
          <w:iCs/>
          <w:i/>
        </w:rPr>
        <w:t xml:space="preserve">missing</w:t>
      </w:r>
      <w:r>
        <w:t xml:space="preserve">, rather than a row saying</w:t>
      </w:r>
      <w:r>
        <w:t xml:space="preserve"> </w:t>
      </w:r>
      <w:r>
        <w:t xml:space="preserve">“</w:t>
      </w:r>
      <w:r>
        <w:t xml:space="preserve">failed.</w:t>
      </w:r>
      <w:r>
        <w:t xml:space="preserve">”</w:t>
      </w:r>
      <w:r>
        <w:t xml:space="preserve"> </w:t>
      </w:r>
      <w:r>
        <w:t xml:space="preserve">Your eye catches it in a way a log export never lets you.</w:t>
      </w:r>
    </w:p>
    <w:bookmarkEnd w:id="32"/>
    <w:bookmarkStart w:id="33" w:name="db12-and-the-two-things-that-arent-on-it"/>
    <w:p>
      <w:pPr>
        <w:pStyle w:val="Heading2"/>
      </w:pPr>
      <w:r>
        <w:rPr>
          <w:rStyle w:val="VerbatimChar"/>
        </w:rPr>
        <w:t xml:space="preserve">DB12</w:t>
      </w:r>
      <w:r>
        <w:t xml:space="preserve"> </w:t>
      </w:r>
      <w:r>
        <w:t xml:space="preserve">— and the two things that aren’t on it</w:t>
      </w:r>
    </w:p>
    <w:p>
      <w:pPr>
        <w:pStyle w:val="FirstParagraph"/>
      </w:pPr>
      <w:r>
        <w:rPr>
          <w:bCs/>
          <w:b/>
        </w:rPr>
        <w:t xml:space="preserve">The 364.</w:t>
      </w:r>
    </w:p>
    <w:p>
      <w:pPr>
        <w:pStyle w:val="BodyText"/>
      </w:pPr>
      <w:r>
        <w:t xml:space="preserve">A year has 365 nights. You were handed 364 reports. So one night is missing — and it produces no row.</w:t>
      </w:r>
    </w:p>
    <w:p>
      <w:pPr>
        <w:pStyle w:val="BodyText"/>
      </w:pPr>
      <w:r>
        <w:t xml:space="preserve">Nothing on this screen says</w:t>
      </w:r>
      <w:r>
        <w:t xml:space="preserve"> </w:t>
      </w:r>
      <w:r>
        <w:t xml:space="preserve">“</w:t>
      </w:r>
      <w:r>
        <w:t xml:space="preserve">one missing.</w:t>
      </w:r>
      <w:r>
        <w:t xml:space="preserve">”</w:t>
      </w:r>
      <w:r>
        <w:t xml:space="preserve"> </w:t>
      </w:r>
      <w:r>
        <w:t xml:space="preserve">SAP shows you what happened.</w:t>
      </w:r>
    </w:p>
    <w:p>
      <w:pPr>
        <w:pStyle w:val="BodyText"/>
      </w:pPr>
      <w:r>
        <w:rPr>
          <w:bCs/>
          <w:b/>
        </w:rPr>
        <w:t xml:space="preserve">So your population is expected executions from the schedule.</w:t>
      </w:r>
      <w:r>
        <w:t xml:space="preserve"> </w:t>
      </w:r>
      <w:r>
        <w:t xml:space="preserve">365 nights, 365 expected runs. Your count from this screen is what you</w:t>
      </w:r>
      <w:r>
        <w:t xml:space="preserve"> </w:t>
      </w:r>
      <w:r>
        <w:rPr>
          <w:bCs/>
          <w:b/>
        </w:rPr>
        <w:t xml:space="preserve">reconcile against it</w:t>
      </w:r>
      <w:r>
        <w:t xml:space="preserve">.</w:t>
      </w:r>
    </w:p>
    <w:p>
      <w:pPr>
        <w:pStyle w:val="BodyText"/>
      </w:pPr>
      <w:r>
        <w:t xml:space="preserve">The exception is the difference. And a difference of one is invisible unless you knew the expected number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you opened the screen.</w:t>
      </w:r>
    </w:p>
    <w:p>
      <w:pPr>
        <w:pStyle w:val="BodyText"/>
      </w:pPr>
      <w:r>
        <w:t xml:space="preserve">That’s why the Planning Card comes before the transaction code. Field 5 decides whether you can see the finding at all.</w:t>
      </w:r>
    </w:p>
    <w:p>
      <w:pPr>
        <w:pStyle w:val="BodyText"/>
      </w:pPr>
      <w:r>
        <w:rPr>
          <w:bCs/>
          <w:b/>
        </w:rPr>
        <w:t xml:space="preserve">The restoration test.</w:t>
      </w:r>
    </w:p>
    <w:p>
      <w:pPr>
        <w:pStyle w:val="BodyText"/>
      </w:pPr>
      <w:r>
        <w:t xml:space="preserve">Scroll this screen and try to find one.</w:t>
      </w:r>
    </w:p>
    <w:p>
      <w:pPr>
        <w:pStyle w:val="BodyText"/>
      </w:pPr>
      <w:r>
        <w:t xml:space="preserve">It isn’t here. It isn’t anywhere in SAP — because a restoration test isn’t an SAP event. It’s an infrastructure exercise. A DR runbook, a test report, a ticket, an infrastructure team’s evidence file.</w:t>
      </w:r>
    </w:p>
    <w:p>
      <w:pPr>
        <w:pStyle w:val="BodyText"/>
      </w:pPr>
      <w:r>
        <w:rPr>
          <w:bCs/>
          <w:b/>
        </w:rPr>
        <w:t xml:space="preserve">Your entire operating-effectiveness evidence for the second limb of this control comes from outside the system you’re logged into.</w:t>
      </w:r>
    </w:p>
    <w:p>
      <w:pPr>
        <w:pStyle w:val="BodyText"/>
      </w:pPr>
      <w:r>
        <w:t xml:space="preserve">That isn’t a gap in your testing. It’s a fact about the control, and your workpaper says so explicitly.</w:t>
      </w:r>
    </w:p>
    <w:bookmarkEnd w:id="33"/>
    <w:bookmarkStart w:id="34" w:name="sm37-and-one-trap"/>
    <w:p>
      <w:pPr>
        <w:pStyle w:val="Heading2"/>
      </w:pPr>
      <w:r>
        <w:rPr>
          <w:rStyle w:val="VerbatimChar"/>
        </w:rPr>
        <w:t xml:space="preserve">SM37</w:t>
      </w:r>
      <w:r>
        <w:t xml:space="preserve"> </w:t>
      </w:r>
      <w:r>
        <w:t xml:space="preserve">— and one trap</w:t>
      </w:r>
    </w:p>
    <w:p>
      <w:pPr>
        <w:pStyle w:val="FirstParagraph"/>
      </w:pPr>
      <w:r>
        <w:rPr>
          <w:rStyle w:val="VerbatimChar"/>
        </w:rPr>
        <w:t xml:space="preserve">SM37</w:t>
      </w:r>
      <w:r>
        <w:t xml:space="preserve"> </w:t>
      </w:r>
      <w:r>
        <w:t xml:space="preserve">is the wider job picture — every scheduled job, not just database ones. Set the date range, and notice the status filter: scheduled, released, active,</w:t>
      </w:r>
      <w:r>
        <w:t xml:space="preserve"> </w:t>
      </w:r>
      <w:r>
        <w:rPr>
          <w:bCs/>
          <w:b/>
        </w:rPr>
        <w:t xml:space="preserve">finished, cancelled</w:t>
      </w:r>
      <w:r>
        <w:t xml:space="preserve">.</w:t>
      </w:r>
    </w:p>
    <w:p>
      <w:pPr>
        <w:pStyle w:val="BodyText"/>
      </w:pPr>
      <w:r>
        <w:t xml:space="preserve">Now the trap, and read it slowly.</w:t>
      </w:r>
    </w:p>
    <w:p>
      <w:pPr>
        <w:pStyle w:val="BodyText"/>
      </w:pPr>
      <w:r>
        <w:rPr>
          <w:iCs/>
          <w:i/>
          <w:bCs/>
          <w:b/>
        </w:rPr>
        <w:t xml:space="preserve">Finished</w:t>
      </w:r>
      <w:r>
        <w:rPr>
          <w:bCs/>
          <w:b/>
        </w:rPr>
        <w:t xml:space="preserve"> </w:t>
      </w:r>
      <w:r>
        <w:rPr>
          <w:bCs/>
          <w:b/>
        </w:rPr>
        <w:t xml:space="preserve">means the job ran to completion. It does not mean the job did what it was supposed to do.</w:t>
      </w:r>
    </w:p>
    <w:p>
      <w:pPr>
        <w:pStyle w:val="BodyText"/>
      </w:pPr>
      <w:r>
        <w:t xml:space="preserve">A job that finished having processed zero records is a finished job.</w:t>
      </w:r>
    </w:p>
    <w:p>
      <w:pPr>
        <w:pStyle w:val="BodyText"/>
      </w:pPr>
      <w:r>
        <w:rPr>
          <w:bCs/>
          <w:b/>
        </w:rPr>
        <w:t xml:space="preserve">Green here is not the same as correct.</w:t>
      </w:r>
      <w:r>
        <w:t xml:space="preserve"> </w:t>
      </w:r>
      <w:r>
        <w:t xml:space="preserve">The gap between those two sentences is most of what separates a junior’s conclusion from a senior’s.</w:t>
      </w:r>
    </w:p>
    <w:bookmarkEnd w:id="34"/>
    <w:bookmarkStart w:id="35" w:name="what-youll-produce-on-wednesday-1"/>
    <w:p>
      <w:pPr>
        <w:pStyle w:val="Heading2"/>
      </w:pPr>
      <w:r>
        <w:t xml:space="preserve">What you’ll produce on Wednesday</w:t>
      </w:r>
    </w:p>
    <w:p>
      <w:pPr>
        <w:numPr>
          <w:ilvl w:val="0"/>
          <w:numId w:val="1005"/>
        </w:numPr>
        <w:pStyle w:val="Compact"/>
      </w:pPr>
      <w:r>
        <w:t xml:space="preserve">Your expected-versus-actual execution count — with</w:t>
      </w:r>
      <w:r>
        <w:t xml:space="preserve"> </w:t>
      </w:r>
      <w:r>
        <w:rPr>
          <w:bCs/>
          <w:b/>
        </w:rPr>
        <w:t xml:space="preserve">expected written down before you open the screen</w:t>
      </w:r>
    </w:p>
    <w:p>
      <w:pPr>
        <w:numPr>
          <w:ilvl w:val="0"/>
          <w:numId w:val="1005"/>
        </w:numPr>
        <w:pStyle w:val="Compact"/>
      </w:pPr>
      <w:r>
        <w:t xml:space="preserve">The specific</w:t>
      </w:r>
      <w:r>
        <w:t xml:space="preserve"> </w:t>
      </w:r>
      <w:r>
        <w:rPr>
          <w:bCs/>
          <w:b/>
        </w:rPr>
        <w:t xml:space="preserve">dates</w:t>
      </w:r>
      <w:r>
        <w:t xml:space="preserve"> </w:t>
      </w:r>
      <w:r>
        <w:t xml:space="preserve">of any gaps. Not</w:t>
      </w:r>
      <w:r>
        <w:t xml:space="preserve"> </w:t>
      </w:r>
      <w:r>
        <w:t xml:space="preserve">“</w:t>
      </w:r>
      <w:r>
        <w:t xml:space="preserve">there were gaps.</w:t>
      </w:r>
      <w:r>
        <w:t xml:space="preserve">”</w:t>
      </w:r>
      <w:r>
        <w:t xml:space="preserve"> </w:t>
      </w:r>
      <w:r>
        <w:t xml:space="preserve">The dates.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book-19-the-interface-gap"/>
    <w:p>
      <w:pPr>
        <w:pStyle w:val="Heading1"/>
      </w:pPr>
      <w:r>
        <w:t xml:space="preserve">BOOK 19 — THE INTERFACE GAP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did everything the other system sent actually arrive?</w:t>
      </w:r>
    </w:p>
    <w:bookmarkStart w:id="37" w:name="the-screens-2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RFC monitor — calls that came in and didn’t complete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SMQ1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SMQ2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Outbound and inbound qRFC queues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WE02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IDoc list and overview — filter by</w:t>
            </w:r>
            <w:r>
              <w:t xml:space="preserve"> </w:t>
            </w:r>
            <w:r>
              <w:rPr>
                <w:bCs/>
                <w:b/>
              </w:rPr>
              <w:t xml:space="preserve">status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SM59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RFC destinations — every system that connects into this SAP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BD87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IDoc reprocessing.</w:t>
            </w:r>
            <w:r>
              <w:t xml:space="preserve"> </w:t>
            </w:r>
            <w:r>
              <w:rPr>
                <w:bCs/>
                <w:b/>
              </w:rPr>
              <w:t xml:space="preserve">Look. Do not touch.</w:t>
            </w:r>
          </w:p>
        </w:tc>
      </w:tr>
    </w:tbl>
    <w:bookmarkEnd w:id="37"/>
    <w:bookmarkStart w:id="38" w:name="X80c1182ccfccb186e5167d1e9ddf5c5afb8a076"/>
    <w:p>
      <w:pPr>
        <w:pStyle w:val="Heading2"/>
      </w:pPr>
      <w:r>
        <w:rPr>
          <w:rStyle w:val="VerbatimChar"/>
        </w:rPr>
        <w:t xml:space="preserve">SM58</w:t>
      </w:r>
      <w:r>
        <w:t xml:space="preserve"> </w:t>
      </w:r>
      <w:r>
        <w:t xml:space="preserve">— two counts, and one of them is the finding</w:t>
      </w:r>
    </w:p>
    <w:p>
      <w:pPr>
        <w:pStyle w:val="FirstParagraph"/>
      </w:pPr>
      <w:r>
        <w:t xml:space="preserve">Set a date range. You get status text, the caller, the function module, and the date.</w:t>
      </w:r>
    </w:p>
    <w:p>
      <w:pPr>
        <w:pStyle w:val="BodyText"/>
      </w:pPr>
      <w:r>
        <w:rPr>
          <w:bCs/>
          <w:b/>
        </w:rPr>
        <w:t xml:space="preserve">Two things to read, and they’re both counts.</w:t>
      </w:r>
    </w:p>
    <w:p>
      <w:pPr>
        <w:pStyle w:val="BodyText"/>
      </w:pPr>
      <w:r>
        <w:t xml:space="preserve">How many are sitting in error. And — sort by date —</w:t>
      </w:r>
      <w:r>
        <w:t xml:space="preserve"> </w:t>
      </w:r>
      <w:r>
        <w:rPr>
          <w:bCs/>
          <w:b/>
        </w:rPr>
        <w:t xml:space="preserve">how old is the oldest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Age is the finding.</w:t>
      </w:r>
    </w:p>
    <w:p>
      <w:pPr>
        <w:pStyle w:val="BodyText"/>
      </w:pPr>
      <w:r>
        <w:t xml:space="preserve">Nobody ever designed a control that says</w:t>
      </w:r>
      <w:r>
        <w:t xml:space="preserve"> </w:t>
      </w:r>
      <w:r>
        <w:t xml:space="preserve">“</w:t>
      </w:r>
      <w:r>
        <w:t xml:space="preserve">leave failed messages in a queue for eight months.</w:t>
      </w:r>
      <w:r>
        <w:t xml:space="preserve">”</w:t>
      </w:r>
      <w:r>
        <w:t xml:space="preserve"> </w:t>
      </w:r>
      <w:r>
        <w:t xml:space="preserve">It just happens, because the queue belongs to nobody in particular.</w:t>
      </w:r>
    </w:p>
    <w:p>
      <w:pPr>
        <w:pStyle w:val="BodyText"/>
      </w:pPr>
      <w:r>
        <w:t xml:space="preserve">Aged items in an error queue are one of the most reliable findings in this discipline. And they’re almost never in anyone’s control matrix.</w:t>
      </w:r>
    </w:p>
    <w:bookmarkEnd w:id="38"/>
    <w:bookmarkStart w:id="39" w:name="we02-status-is-everything"/>
    <w:p>
      <w:pPr>
        <w:pStyle w:val="Heading2"/>
      </w:pPr>
      <w:r>
        <w:rPr>
          <w:rStyle w:val="VerbatimChar"/>
        </w:rPr>
        <w:t xml:space="preserve">WE02</w:t>
      </w:r>
      <w:r>
        <w:t xml:space="preserve"> </w:t>
      </w:r>
      <w:r>
        <w:t xml:space="preserve">— status is everything</w:t>
      </w:r>
    </w:p>
    <w:p>
      <w:pPr>
        <w:pStyle w:val="FirstParagraph"/>
      </w:pPr>
      <w:r>
        <w:t xml:space="preserve">For IDoc-based interfaces, which are still very common.</w:t>
      </w:r>
    </w:p>
    <w:tbl>
      <w:tblPr>
        <w:tblStyle w:val="Table"/>
        <w:tblW w:type="auto" w:w="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error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Ready to be processed — and hasn’t been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Posted successfully</w:t>
            </w:r>
          </w:p>
        </w:tc>
      </w:tr>
    </w:tbl>
    <w:p>
      <w:pPr>
        <w:pStyle w:val="BodyText"/>
      </w:pPr>
      <w:r>
        <w:t xml:space="preserve">Filter by error status and you have your error population.</w:t>
      </w:r>
    </w:p>
    <w:bookmarkEnd w:id="39"/>
    <w:bookmarkStart w:id="40" w:name="the-hard-part-and-its-counter-intuitive"/>
    <w:p>
      <w:pPr>
        <w:pStyle w:val="Heading2"/>
      </w:pPr>
      <w:r>
        <w:t xml:space="preserve">The hard part, and it’s counter-intuitive</w:t>
      </w:r>
    </w:p>
    <w:p>
      <w:pPr>
        <w:pStyle w:val="FirstParagraph"/>
      </w:pPr>
      <w:r>
        <w:t xml:space="preserve">Everything above tells you about messages that</w:t>
      </w:r>
      <w:r>
        <w:t xml:space="preserve"> </w:t>
      </w:r>
      <w:r>
        <w:rPr>
          <w:bCs/>
          <w:b/>
        </w:rPr>
        <w:t xml:space="preserve">arrived in SAP and then failed</w:t>
      </w:r>
      <w:r>
        <w:t xml:space="preserve">.</w:t>
      </w:r>
    </w:p>
    <w:p>
      <w:pPr>
        <w:pStyle w:val="BodyText"/>
      </w:pPr>
      <w:r>
        <w:t xml:space="preserve">The warehouse system reported 41,206 movements. SAP shows 41,192.</w:t>
      </w:r>
      <w:r>
        <w:t xml:space="preserve"> </w:t>
      </w:r>
      <w:r>
        <w:rPr>
          <w:bCs/>
          <w:b/>
        </w:rPr>
        <w:t xml:space="preserve">Where are the fourteen?</w:t>
      </w:r>
    </w:p>
    <w:p>
      <w:pPr>
        <w:pStyle w:val="BodyText"/>
      </w:pPr>
      <w:r>
        <w:t xml:space="preserve">Some may be here, in error status.</w:t>
      </w:r>
    </w:p>
    <w:p>
      <w:pPr>
        <w:pStyle w:val="BodyText"/>
      </w:pPr>
      <w:r>
        <w:rPr>
          <w:bCs/>
          <w:b/>
        </w:rPr>
        <w:t xml:space="preserve">And some may not be here at all.</w:t>
      </w:r>
      <w:r>
        <w:t xml:space="preserve"> </w:t>
      </w:r>
      <w:r>
        <w:t xml:space="preserve">A message that was never transmitted, or was rejected at the gateway, or died in the middle of the night in the sending system,</w:t>
      </w:r>
      <w:r>
        <w:t xml:space="preserve"> </w:t>
      </w:r>
      <w:r>
        <w:rPr>
          <w:bCs/>
          <w:b/>
        </w:rPr>
        <w:t xml:space="preserve">never becomes an SAP object</w:t>
      </w:r>
      <w:r>
        <w:t xml:space="preserve">.</w:t>
      </w:r>
    </w:p>
    <w:p>
      <w:pPr>
        <w:pStyle w:val="BodyText"/>
      </w:pPr>
      <w:r>
        <w:t xml:space="preserve">It has no IDoc number. It has no queue entry. There is no screen in SAP that lists it — from SAP’s point of view it doesn’t exist, and never did.</w:t>
      </w:r>
    </w:p>
    <w:p>
      <w:pPr>
        <w:pStyle w:val="BodyText"/>
      </w:pPr>
      <w:r>
        <w:rPr>
          <w:bCs/>
          <w:b/>
        </w:rPr>
        <w:t xml:space="preserve">Which is why the population is the source system’s transmitted count, and SAP is the other side of the reconciliation.</w:t>
      </w:r>
    </w:p>
    <w:p>
      <w:pPr>
        <w:pStyle w:val="BodyText"/>
      </w:pPr>
      <w:r>
        <w:t xml:space="preserve">Fifth costume of the same error this fortnight. Reviews instead of sessions. IT instead of HR. Tickets instead of transports. Validity instead of logon.</w:t>
      </w:r>
      <w:r>
        <w:t xml:space="preserve"> </w:t>
      </w:r>
      <w:r>
        <w:rPr>
          <w:bCs/>
          <w:b/>
        </w:rPr>
        <w:t xml:space="preserve">And now SAP instead of the source system.</w:t>
      </w:r>
    </w:p>
    <w:bookmarkEnd w:id="40"/>
    <w:bookmarkStart w:id="41" w:name="bd87-the-one-screen-you-open-and-close"/>
    <w:p>
      <w:pPr>
        <w:pStyle w:val="Heading2"/>
      </w:pPr>
      <w:r>
        <w:rPr>
          <w:rStyle w:val="VerbatimChar"/>
        </w:rPr>
        <w:t xml:space="preserve">BD87</w:t>
      </w:r>
      <w:r>
        <w:t xml:space="preserve"> </w:t>
      </w:r>
      <w:r>
        <w:t xml:space="preserve">— the one screen you open and close</w:t>
      </w:r>
    </w:p>
    <w:p>
      <w:pPr>
        <w:pStyle w:val="FirstParagraph"/>
      </w:pPr>
      <w:r>
        <w:rPr>
          <w:rStyle w:val="VerbatimChar"/>
        </w:rPr>
        <w:t xml:space="preserve">BD87</w:t>
      </w:r>
      <w:r>
        <w:t xml:space="preserve"> </w:t>
      </w:r>
      <w:r>
        <w:t xml:space="preserve">is the IDoc reprocessing screen.</w:t>
      </w:r>
      <w:r>
        <w:t xml:space="preserve"> </w:t>
      </w:r>
      <w:r>
        <w:rPr>
          <w:bCs/>
          <w:b/>
        </w:rPr>
        <w:t xml:space="preserve">It is a screen that fixes things.</w:t>
      </w:r>
      <w:r>
        <w:t xml:space="preserve"> </w:t>
      </w:r>
      <w:r>
        <w:t xml:space="preserve">It will let you push a failed message through.</w:t>
      </w:r>
    </w:p>
    <w:p>
      <w:pPr>
        <w:pStyle w:val="BodyText"/>
      </w:pPr>
      <w:r>
        <w:t xml:space="preserve">You may look at it.</w:t>
      </w:r>
      <w:r>
        <w:t xml:space="preserve"> </w:t>
      </w:r>
      <w:r>
        <w:rPr>
          <w:bCs/>
          <w:b/>
        </w:rPr>
        <w:t xml:space="preserve">You may not press anything on it.</w:t>
      </w:r>
      <w:r>
        <w:t xml:space="preserve"> </w:t>
      </w:r>
      <w:r>
        <w:t xml:space="preserve">Literally.</w:t>
      </w:r>
    </w:p>
    <w:p>
      <w:pPr>
        <w:pStyle w:val="BodyText"/>
      </w:pPr>
      <w:r>
        <w:t xml:space="preserve">Open it. Understand what it does. Understand that it changes production data. Close it.</w:t>
      </w:r>
    </w:p>
    <w:p>
      <w:pPr>
        <w:pStyle w:val="BodyText"/>
      </w:pPr>
      <w:r>
        <w:rPr>
          <w:bCs/>
          <w:b/>
        </w:rPr>
        <w:t xml:space="preserve">That reflex is worth more to you than the Book.</w:t>
      </w:r>
    </w:p>
    <w:bookmarkEnd w:id="41"/>
    <w:bookmarkStart w:id="42" w:name="X5a0c01a2cadf1f677c72272b8e331e24031accb"/>
    <w:p>
      <w:pPr>
        <w:pStyle w:val="Heading2"/>
      </w:pPr>
      <w:r>
        <w:t xml:space="preserve">Two things to remember about the difference</w:t>
      </w:r>
    </w:p>
    <w:p>
      <w:pPr>
        <w:pStyle w:val="FirstParagraph"/>
      </w:pPr>
      <w:r>
        <w:rPr>
          <w:bCs/>
          <w:b/>
        </w:rPr>
        <w:t xml:space="preserve">Units are not dollars.</w:t>
      </w:r>
      <w:r>
        <w:t xml:space="preserve"> </w:t>
      </w:r>
      <w:r>
        <w:t xml:space="preserve">Fourteen units means nothing until you know what they are. Fourteen washers is nothing. Fourteen precision assemblies at eleven thousand dollars each is a hundred and fifty-four thousand dollars of inventory that doesn’t exist.</w:t>
      </w:r>
    </w:p>
    <w:p>
      <w:pPr>
        <w:pStyle w:val="BodyText"/>
      </w:pPr>
      <w:r>
        <w:t xml:space="preserve">Materiality is assessed on</w:t>
      </w:r>
      <w:r>
        <w:t xml:space="preserve"> </w:t>
      </w:r>
      <w:r>
        <w:rPr>
          <w:bCs/>
          <w:b/>
        </w:rPr>
        <w:t xml:space="preserve">value and nature</w:t>
      </w:r>
      <w:r>
        <w:t xml:space="preserve">. Not on count.</w:t>
      </w:r>
    </w:p>
    <w:p>
      <w:pPr>
        <w:pStyle w:val="BodyText"/>
      </w:pPr>
      <w:r>
        <w:rPr>
          <w:bCs/>
          <w:b/>
        </w:rPr>
        <w:t xml:space="preserve">A percentage tolerance hides direction and pattern.</w:t>
      </w:r>
      <w:r>
        <w:t xml:space="preserve"> </w:t>
      </w:r>
      <w:r>
        <w:t xml:space="preserve">Fourteen random failures scattered across a quarter is an operational nuisance. Fourteen failures all on the same day, or all from the same plant, or all of the same material type, is a systematic failure that happens to be small this quarter.</w:t>
      </w:r>
    </w:p>
    <w:p>
      <w:pPr>
        <w:pStyle w:val="BodyText"/>
      </w:pPr>
      <w:r>
        <w:rPr>
          <w:bCs/>
          <w:b/>
        </w:rPr>
        <w:t xml:space="preserve">You cannot assess a difference you haven’t broken down.</w:t>
      </w:r>
    </w:p>
    <w:bookmarkEnd w:id="42"/>
    <w:bookmarkStart w:id="43" w:name="what-youll-produce-on-wednesday-2"/>
    <w:p>
      <w:pPr>
        <w:pStyle w:val="Heading2"/>
      </w:pPr>
      <w:r>
        <w:t xml:space="preserve">What you’ll produce on Wednesday</w:t>
      </w:r>
    </w:p>
    <w:p>
      <w:pPr>
        <w:numPr>
          <w:ilvl w:val="0"/>
          <w:numId w:val="1006"/>
        </w:numPr>
        <w:pStyle w:val="Compact"/>
      </w:pPr>
      <w:r>
        <w:t xml:space="preserve">The count of items in error status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age of the oldest</w:t>
      </w:r>
    </w:p>
    <w:p>
      <w:pPr>
        <w:numPr>
          <w:ilvl w:val="0"/>
          <w:numId w:val="1006"/>
        </w:numPr>
        <w:pStyle w:val="Compact"/>
      </w:pPr>
      <w:r>
        <w:t xml:space="preserve">A note on composition — same plant, same material, same day?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your-deliverable-after-wednesday"/>
    <w:p>
      <w:pPr>
        <w:pStyle w:val="Heading1"/>
      </w:pPr>
      <w:r>
        <w:t xml:space="preserve">Your deliverable after Wednesday</w:t>
      </w:r>
    </w:p>
    <w:p>
      <w:pPr>
        <w:pStyle w:val="FirstParagraph"/>
      </w:pPr>
      <w:r>
        <w:rPr>
          <w:bCs/>
          <w:b/>
        </w:rPr>
        <w:t xml:space="preserve">One workpaper. Book 2, The Emergency Change. Due before Friday.</w:t>
      </w:r>
    </w:p>
    <w:p>
      <w:pPr>
        <w:pStyle w:val="BodyText"/>
      </w:pPr>
      <w:r>
        <w:t xml:space="preserve">Same standard as Book 17, plus three specific requirements.</w:t>
      </w:r>
    </w:p>
    <w:p>
      <w:pPr>
        <w:pStyle w:val="BodyText"/>
      </w:pPr>
      <w:r>
        <w:rPr>
          <w:bCs/>
          <w:b/>
        </w:rPr>
        <w:t xml:space="preserve">Population definition and source.</w:t>
      </w:r>
      <w:r>
        <w:t xml:space="preserve"> </w:t>
      </w:r>
      <w:r>
        <w:t xml:space="preserve">It must be explicit that this came from</w:t>
      </w:r>
      <w:r>
        <w:t xml:space="preserve"> </w:t>
      </w:r>
      <w:r>
        <w:rPr>
          <w:bCs/>
          <w:b/>
        </w:rPr>
        <w:t xml:space="preserve">production import history</w:t>
      </w:r>
      <w:r>
        <w:t xml:space="preserve">, not the ticket system. If it came from tickets, it comes back with one word on it.</w:t>
      </w:r>
    </w:p>
    <w:p>
      <w:pPr>
        <w:pStyle w:val="BodyText"/>
      </w:pPr>
      <w:r>
        <w:rPr>
          <w:bCs/>
          <w:b/>
        </w:rPr>
        <w:t xml:space="preserve">Exceptions classified, not just listed.</w:t>
      </w:r>
      <w:r>
        <w:t xml:space="preserve"> </w:t>
      </w:r>
      <w:r>
        <w:t xml:space="preserve">No ticket · late approval · unauthorised importer. Three categories, because they’re three different findings.</w:t>
      </w:r>
    </w:p>
    <w:p>
      <w:pPr>
        <w:pStyle w:val="BodyText"/>
      </w:pPr>
      <w:r>
        <w:rPr>
          <w:bCs/>
          <w:b/>
        </w:rPr>
        <w:t xml:space="preserve">Tester conclusion including what you did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find.</w:t>
      </w:r>
      <w:r>
        <w:t xml:space="preserve"> </w:t>
      </w:r>
      <w:r>
        <w:t xml:space="preserve">If the transport contents were legitimate operational fixes, say so.</w:t>
      </w:r>
    </w:p>
    <w:p>
      <w:pPr>
        <w:pStyle w:val="BodyText"/>
      </w:pPr>
      <w:r>
        <w:t xml:space="preserve">A finding that omits the mitigating fact reads as sloppy or slanted. Both cost you the process owner you now need on your side.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Reading Pack 5 — Before Wednesday, Week 2</dc:title>
  <dc:creator>SAP SOX / ITGC Controls — Course 1: The Full Sweep · Thornfield Industrial Group</dc:creator>
  <cp:keywords/>
  <dcterms:created xsi:type="dcterms:W3CDTF">2026-09-05T23:33:24Z</dcterms:created>
  <dcterms:modified xsi:type="dcterms:W3CDTF">2026-09-05T23:33:24Z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Module 2 hands on · Books 2, 18 and 19</vt:lpwstr>
  </property>
</Properties>
</file>