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Reading</w:t>
      </w:r>
      <w:r>
        <w:t xml:space="preserve"> </w:t>
      </w:r>
      <w:r>
        <w:t xml:space="preserve">Pack</w:t>
      </w:r>
      <w:r>
        <w:t xml:space="preserve"> </w:t>
      </w:r>
      <w:r>
        <w:t xml:space="preserve">6</w:t>
      </w:r>
      <w:r>
        <w:t xml:space="preserve"> </w:t>
      </w:r>
      <w:r>
        <w:t xml:space="preserve">—</w:t>
      </w:r>
      <w:r>
        <w:t xml:space="preserve"> </w:t>
      </w:r>
      <w:r>
        <w:t xml:space="preserve">Before</w:t>
      </w:r>
      <w:r>
        <w:t xml:space="preserve"> </w:t>
      </w:r>
      <w:r>
        <w:t xml:space="preserve">Friday,</w:t>
      </w:r>
      <w:r>
        <w:t xml:space="preserve"> </w:t>
      </w:r>
      <w:r>
        <w:t xml:space="preserve">Week</w:t>
      </w:r>
      <w:r>
        <w:t xml:space="preserve"> </w:t>
      </w:r>
      <w:r>
        <w:t xml:space="preserve">2</w:t>
      </w:r>
    </w:p>
    <w:p>
      <w:pPr>
        <w:pStyle w:val="Subtitle"/>
      </w:pPr>
      <w:r>
        <w:t xml:space="preserve">Module</w:t>
      </w:r>
      <w:r>
        <w:t xml:space="preserve"> </w:t>
      </w:r>
      <w:r>
        <w:t xml:space="preserve">3</w:t>
      </w:r>
      <w:r>
        <w:t xml:space="preserve"> </w:t>
      </w:r>
      <w:r>
        <w:t xml:space="preserve">hands</w:t>
      </w:r>
      <w:r>
        <w:t xml:space="preserve"> </w:t>
      </w:r>
      <w:r>
        <w:t xml:space="preserve">on</w:t>
      </w:r>
      <w:r>
        <w:t xml:space="preserve"> </w:t>
      </w:r>
      <w:r>
        <w:t xml:space="preserve">·</w:t>
      </w:r>
      <w:r>
        <w:t xml:space="preserve"> </w:t>
      </w:r>
      <w:r>
        <w:t xml:space="preserve">Books</w:t>
      </w:r>
      <w:r>
        <w:t xml:space="preserve"> </w:t>
      </w:r>
      <w:r>
        <w:t xml:space="preserve">3,</w:t>
      </w:r>
      <w:r>
        <w:t xml:space="preserve"> </w:t>
      </w:r>
      <w:r>
        <w:t xml:space="preserve">14</w:t>
      </w:r>
      <w:r>
        <w:t xml:space="preserve"> </w:t>
      </w:r>
      <w:r>
        <w:t xml:space="preserve">and</w:t>
      </w:r>
      <w:r>
        <w:t xml:space="preserve"> </w:t>
      </w:r>
      <w:r>
        <w:t xml:space="preserve">12</w:t>
      </w:r>
      <w:r>
        <w:t xml:space="preserve"> </w:t>
      </w:r>
      <w:r>
        <w:t xml:space="preserve">·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close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1:</w:t>
      </w:r>
      <w:r>
        <w:t xml:space="preserve"> </w:t>
      </w:r>
      <w:r>
        <w:t xml:space="preserve">The</w:t>
      </w:r>
      <w:r>
        <w:t xml:space="preserve"> </w:t>
      </w:r>
      <w:r>
        <w:t xml:space="preserve">Full</w:t>
      </w:r>
      <w:r>
        <w:t xml:space="preserve"> </w:t>
      </w:r>
      <w:r>
        <w:t xml:space="preserve">Sweep</w:t>
      </w:r>
      <w:r>
        <w:t xml:space="preserve"> </w:t>
      </w:r>
      <w:r>
        <w:t xml:space="preserve">·</w:t>
      </w:r>
      <w:r>
        <w:t xml:space="preserve"> </w:t>
      </w:r>
      <w:r>
        <w:t xml:space="preserve">Thornfield</w:t>
      </w:r>
      <w:r>
        <w:t xml:space="preserve"> </w:t>
      </w:r>
      <w:r>
        <w:t xml:space="preserve">Industrial</w:t>
      </w:r>
      <w:r>
        <w:t xml:space="preserve"> </w:t>
      </w:r>
      <w:r>
        <w:t xml:space="preserve">Group</w:t>
      </w:r>
    </w:p>
    <w:bookmarkStart w:id="20" w:name="before-you-start"/>
    <w:p>
      <w:pPr>
        <w:pStyle w:val="Heading1"/>
      </w:pPr>
      <w:r>
        <w:t xml:space="preserve">Before you start</w:t>
      </w:r>
    </w:p>
    <w:p>
      <w:pPr>
        <w:pStyle w:val="FirstParagraph"/>
      </w:pPr>
      <w:r>
        <w:t xml:space="preserve">Last one. Same as before — screens, not stories.</w:t>
      </w:r>
    </w:p>
    <w:p>
      <w:pPr>
        <w:pStyle w:val="BodyText"/>
      </w:pPr>
      <w:r>
        <w:rPr>
          <w:bCs/>
          <w:b/>
        </w:rPr>
        <w:t xml:space="preserve">Total time: about 45 minutes.</w:t>
      </w:r>
    </w:p>
    <w:p>
      <w:pPr>
        <w:pStyle w:val="BodyText"/>
      </w:pPr>
      <w:r>
        <w:rPr>
          <w:bCs/>
          <w:b/>
        </w:rPr>
        <w:t xml:space="preserve">Before Friday: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Your Book 2 workpaper submitted.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Planning Cards</w:t>
      </w:r>
      <w:r>
        <w:t xml:space="preserve"> </w:t>
      </w:r>
      <w:r>
        <w:t xml:space="preserve">for Books 3, 14 and 12.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question</w:t>
      </w:r>
      <w:r>
        <w:t xml:space="preserve"> </w:t>
      </w:r>
      <w:r>
        <w:t xml:space="preserve">you still have about the whole course. Friday’s close has a slot for it.</w:t>
      </w:r>
    </w:p>
    <w:p>
      <w:pPr>
        <w:pStyle w:val="FirstParagraph"/>
      </w:pPr>
      <w:r>
        <w:rPr>
          <w:bCs/>
          <w:b/>
        </w:rPr>
        <w:t xml:space="preserve">Same two rules.</w:t>
      </w:r>
      <w:r>
        <w:t xml:space="preserve"> </w:t>
      </w:r>
      <w:r>
        <w:t xml:space="preserve">Display only. Planning Card before transaction code.</w:t>
      </w:r>
    </w:p>
    <w:p>
      <w:r>
        <w:pict>
          <v:rect style="width:0;height:1.5pt" o:hralign="center" o:hrstd="t" o:hr="t"/>
        </w:pict>
      </w:r>
    </w:p>
    <w:bookmarkEnd w:id="20"/>
    <w:bookmarkStart w:id="21" w:name="how-this-pack-works-with-the-app"/>
    <w:p>
      <w:pPr>
        <w:pStyle w:val="Heading1"/>
      </w:pPr>
      <w:r>
        <w:t xml:space="preserve">How this pack works with the app</w:t>
      </w:r>
    </w:p>
    <w:p>
      <w:pPr>
        <w:pStyle w:val="FirstParagraph"/>
      </w:pPr>
      <w:r>
        <w:rPr>
          <w:bCs/>
          <w:b/>
        </w:rPr>
        <w:t xml:space="preserve">You will run these tests in the SAP Testing Execution Guide app.</w:t>
      </w:r>
      <w:r>
        <w:t xml:space="preserve"> </w:t>
      </w:r>
      <w:r>
        <w:t xml:space="preserve">The app gives you the screens. This pack gives you what the app has no field for.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The app gives you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This pack gives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SCENARIO BRIEF</w:t>
            </w:r>
            <w:r>
              <w:t xml:space="preserve"> </w:t>
            </w:r>
            <w:r>
              <w:t xml:space="preserve">— the task, in a paragraph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control objective and the business risk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 STEPS</w:t>
            </w:r>
            <w:r>
              <w:t xml:space="preserve"> </w:t>
            </w:r>
            <w:r>
              <w:t xml:space="preserve">— the exact screens and clicks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Your population, and how you know it’s 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EXHIBIT — EVIDENCE LOG</w:t>
            </w:r>
            <w:r>
              <w:t xml:space="preserve"> </w:t>
            </w:r>
            <w:r>
              <w:t xml:space="preserve">— what to 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goes:</w:t>
            </w:r>
            <w:r>
              <w:t xml:space="preserve"> </w:t>
            </w:r>
            <w:r>
              <w:rPr>
                <w:bCs/>
                <w:b/>
              </w:rPr>
              <w:t xml:space="preserve">your workpaper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CAUTION</w:t>
            </w:r>
            <w:r>
              <w:t xml:space="preserve"> </w:t>
            </w:r>
            <w:r>
              <w:t xml:space="preserve">— on most Books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deliberate mistakes, and what a reviewer will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conclude, and in what words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Three things about the app worth knowing before Monday.</w:t>
      </w:r>
    </w:p>
    <w:p>
      <w:pPr>
        <w:pStyle w:val="BodyText"/>
      </w:pPr>
      <w:r>
        <w:rPr>
          <w:bCs/>
          <w:b/>
        </w:rPr>
        <w:t xml:space="preserve">The counter lies about Book numbers.</w:t>
      </w:r>
      <w:r>
        <w:t xml:space="preserve"> </w:t>
      </w:r>
      <w:r>
        <w:t xml:space="preserve">Top right of a Book page shows something like</w:t>
      </w:r>
      <w:r>
        <w:t xml:space="preserve"> </w:t>
      </w:r>
      <w:r>
        <w:rPr>
          <w:rStyle w:val="VerbatimChar"/>
        </w:rPr>
        <w:t xml:space="preserve">BOOK 2 OF 22</w:t>
      </w:r>
      <w:r>
        <w:t xml:space="preserve">. That’s the Book’s</w:t>
      </w:r>
      <w:r>
        <w:t xml:space="preserve"> </w:t>
      </w:r>
      <w:r>
        <w:rPr>
          <w:bCs/>
          <w:b/>
        </w:rPr>
        <w:t xml:space="preserve">position in the app’s sequence</w:t>
      </w:r>
      <w:r>
        <w:t xml:space="preserve">, not its number — the header above it has the real one. Go by the header.</w:t>
      </w:r>
    </w:p>
    <w:p>
      <w:pPr>
        <w:pStyle w:val="BodyText"/>
      </w:pPr>
      <w:r>
        <w:rPr>
          <w:bCs/>
          <w:b/>
        </w:rPr>
        <w:t xml:space="preserve">Nothing you do in the app is stored except which Books you finished.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Not yet captured</w:t>
      </w:r>
      <w:r>
        <w:t xml:space="preserve"> </w:t>
      </w:r>
      <w:r>
        <w:t xml:space="preserve">slot is a caption, not an upload. There is no export.</w:t>
      </w:r>
      <w:r>
        <w:t xml:space="preserve"> </w:t>
      </w:r>
      <w:r>
        <w:rPr>
          <w:bCs/>
          <w:b/>
        </w:rPr>
        <w:t xml:space="preserve">Every screenshot goes into your own workpaper.</w:t>
      </w:r>
    </w:p>
    <w:p>
      <w:pPr>
        <w:pStyle w:val="BodyText"/>
      </w:pPr>
      <w:r>
        <w:rPr>
          <w:bCs/>
          <w:b/>
        </w:rPr>
        <w:t xml:space="preserve">The forward arrow at the bottom right is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Finish this Book</w:t>
      </w:r>
      <w:r>
        <w:rPr>
          <w:bCs/>
          <w:b/>
        </w:rPr>
        <w:t xml:space="preserve">”</w:t>
      </w:r>
      <w:r>
        <w:rPr>
          <w:bCs/>
          <w:b/>
        </w:rPr>
        <w:t xml:space="preserve">, not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It looks identical to the Previous arrow beside it. Clicking it marks the Book complete.</w:t>
      </w:r>
    </w:p>
    <w:p>
      <w:r>
        <w:pict>
          <v:rect style="width:0;height:1.5pt" o:hralign="center" o:hrstd="t" o:hr="t"/>
        </w:pict>
      </w:r>
    </w:p>
    <w:bookmarkEnd w:id="21"/>
    <w:bookmarkStart w:id="22" w:name="todays-frame"/>
    <w:p>
      <w:pPr>
        <w:pStyle w:val="Heading1"/>
      </w:pPr>
      <w:r>
        <w:t xml:space="preserve">Today’s frame</w:t>
      </w:r>
    </w:p>
    <w:p>
      <w:pPr>
        <w:pStyle w:val="FirstParagraph"/>
      </w:pPr>
      <w:r>
        <w:t xml:space="preserve">Module 3 climbs a ladder, and so do Friday’s three demonstrations.</w:t>
      </w:r>
    </w:p>
    <w:p>
      <w:pPr>
        <w:pStyle w:val="BodyText"/>
      </w:pPr>
      <w:r>
        <w:rPr>
          <w:bCs/>
          <w:b/>
        </w:rPr>
        <w:t xml:space="preserve">Book 3</w:t>
      </w:r>
      <w:r>
        <w:t xml:space="preserve"> </w:t>
      </w:r>
      <w:r>
        <w:t xml:space="preserve">— one journal entry. Did it route, and did approval come before posting?</w:t>
      </w:r>
    </w:p>
    <w:p>
      <w:pPr>
        <w:pStyle w:val="BodyText"/>
      </w:pPr>
      <w:r>
        <w:rPr>
          <w:bCs/>
          <w:b/>
        </w:rPr>
        <w:t xml:space="preserve">Book 14</w:t>
      </w:r>
      <w:r>
        <w:t xml:space="preserve"> </w:t>
      </w:r>
      <w:r>
        <w:t xml:space="preserve">— the platform. Is the thing that monitors the entries actually working?</w:t>
      </w:r>
    </w:p>
    <w:p>
      <w:pPr>
        <w:pStyle w:val="BodyText"/>
      </w:pPr>
      <w:r>
        <w:rPr>
          <w:bCs/>
          <w:b/>
        </w:rPr>
        <w:t xml:space="preserve">Book 12</w:t>
      </w:r>
      <w:r>
        <w:t xml:space="preserve"> </w:t>
      </w:r>
      <w:r>
        <w:t xml:space="preserve">— the disclosure. And here the evidence mostly</w:t>
      </w:r>
      <w:r>
        <w:t xml:space="preserve"> </w:t>
      </w:r>
      <w:r>
        <w:rPr>
          <w:bCs/>
          <w:b/>
        </w:rPr>
        <w:t xml:space="preserve">isn’t in SAP at all</w:t>
      </w:r>
      <w:r>
        <w:t xml:space="preserve">, which changes what your workpaper has to say.</w:t>
      </w:r>
    </w:p>
    <w:p>
      <w:r>
        <w:pict>
          <v:rect style="width:0;height:1.5pt" o:hralign="center" o:hrstd="t" o:hr="t"/>
        </w:pict>
      </w:r>
    </w:p>
    <w:bookmarkEnd w:id="22"/>
    <w:bookmarkStart w:id="30" w:name="book-3-the-approval-limit"/>
    <w:p>
      <w:pPr>
        <w:pStyle w:val="Heading1"/>
      </w:pPr>
      <w:r>
        <w:t xml:space="preserve">BOOK 3 — THE APPROVAL LIMIT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did entries above the threshold get independently approved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they posted — and was the threshold itself right?</w:t>
      </w:r>
    </w:p>
    <w:bookmarkStart w:id="23" w:name="the-screens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FBL3N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G/L account line item display — the starting point, with a trap in it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FB03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Display one accounting document — header, creator, timestamps, document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SWI1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SWIA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Workflow log — the</w:t>
            </w:r>
            <w:r>
              <w:t xml:space="preserve"> </w:t>
            </w:r>
            <w:r>
              <w:rPr>
                <w:bCs/>
                <w:b/>
              </w:rPr>
              <w:t xml:space="preserve">path</w:t>
            </w:r>
            <w:r>
              <w:t xml:space="preserve"> </w:t>
            </w:r>
            <w:r>
              <w:t xml:space="preserve">a document actually took, not just its status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SE16N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BKPF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BSEG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Document header and line item tables, when the reports aren’t enough</w:t>
            </w:r>
          </w:p>
        </w:tc>
      </w:tr>
    </w:tbl>
    <w:bookmarkEnd w:id="23"/>
    <w:bookmarkStart w:id="24" w:name="two-dates-and-the-difference-matters"/>
    <w:p>
      <w:pPr>
        <w:pStyle w:val="Heading2"/>
      </w:pPr>
      <w:r>
        <w:t xml:space="preserve">Two dates, and the difference matters</w:t>
      </w:r>
    </w:p>
    <w:p>
      <w:pPr>
        <w:pStyle w:val="FirstParagraph"/>
      </w:pPr>
      <w:r>
        <w:rPr>
          <w:rStyle w:val="VerbatimChar"/>
        </w:rPr>
        <w:t xml:space="preserve">FBL3N</w:t>
      </w:r>
      <w:r>
        <w:t xml:space="preserve">’s selection screen has more than one date field. This matters more than anything else on the screen.</w:t>
      </w:r>
    </w:p>
    <w:p>
      <w:pPr>
        <w:pStyle w:val="BodyText"/>
      </w:pPr>
      <w:r>
        <w:rPr>
          <w:bCs/>
          <w:b/>
        </w:rPr>
        <w:t xml:space="preserve">Posting date</w:t>
      </w:r>
      <w:r>
        <w:t xml:space="preserve"> </w:t>
      </w:r>
      <w:r>
        <w:t xml:space="preserve">is the date the entry hits the ledger. The date the accountant chose.</w:t>
      </w:r>
    </w:p>
    <w:p>
      <w:pPr>
        <w:pStyle w:val="BodyText"/>
      </w:pPr>
      <w:r>
        <w:rPr>
          <w:bCs/>
          <w:b/>
        </w:rPr>
        <w:t xml:space="preserve">Entry date</w:t>
      </w:r>
      <w:r>
        <w:t xml:space="preserve"> </w:t>
      </w:r>
      <w:r>
        <w:t xml:space="preserve">is the date somebody actually typed it.</w:t>
      </w:r>
    </w:p>
    <w:p>
      <w:pPr>
        <w:pStyle w:val="BodyText"/>
      </w:pPr>
      <w:r>
        <w:t xml:space="preserve">These are often different — sometimes by weeks.</w:t>
      </w:r>
    </w:p>
    <w:p>
      <w:pPr>
        <w:pStyle w:val="BodyText"/>
      </w:pPr>
      <w:r>
        <w:rPr>
          <w:bCs/>
          <w:b/>
        </w:rPr>
        <w:t xml:space="preserve">Which one defines your period is a decision you make deliberately. Not a default you accept.</w:t>
      </w:r>
    </w:p>
    <w:p>
      <w:pPr>
        <w:pStyle w:val="BodyText"/>
      </w:pPr>
      <w:r>
        <w:t xml:space="preserve">An entry posted to March and typed in June is a different animal from one posted and typed in March. If your population used posting date, you’ll never see it.</w:t>
      </w:r>
    </w:p>
    <w:bookmarkEnd w:id="24"/>
    <w:bookmarkStart w:id="25" w:name="the-trap-on-fbl3n"/>
    <w:p>
      <w:pPr>
        <w:pStyle w:val="Heading2"/>
      </w:pPr>
      <w:r>
        <w:t xml:space="preserve">The trap on</w:t>
      </w:r>
      <w:r>
        <w:t xml:space="preserve"> </w:t>
      </w:r>
      <w:r>
        <w:rPr>
          <w:rStyle w:val="VerbatimChar"/>
        </w:rPr>
        <w:t xml:space="preserve">FBL3N</w:t>
      </w:r>
    </w:p>
    <w:p>
      <w:pPr>
        <w:pStyle w:val="FirstParagraph"/>
      </w:pPr>
      <w:r>
        <w:rPr>
          <w:rStyle w:val="VerbatimChar"/>
        </w:rPr>
        <w:t xml:space="preserve">FBL3N</w:t>
      </w:r>
      <w:r>
        <w:t xml:space="preserve"> </w:t>
      </w:r>
      <w:r>
        <w:t xml:space="preserve">displays G/L line items. Part 6 of the study guide warns about this, and it’s worth repeating.</w:t>
      </w:r>
    </w:p>
    <w:p>
      <w:pPr>
        <w:pStyle w:val="BodyText"/>
      </w:pPr>
      <w:r>
        <w:rPr>
          <w:bCs/>
          <w:b/>
        </w:rPr>
        <w:t xml:space="preserve">This is not automatically a complete journal-entry population.</w:t>
      </w:r>
    </w:p>
    <w:p>
      <w:pPr>
        <w:pStyle w:val="BodyText"/>
      </w:pPr>
      <w:r>
        <w:t xml:space="preserve">It shows you line items in the accounts you selected.</w:t>
      </w:r>
      <w:r>
        <w:t xml:space="preserve"> </w:t>
      </w:r>
      <w:r>
        <w:rPr>
          <w:bCs/>
          <w:b/>
        </w:rPr>
        <w:t xml:space="preserve">Manual</w:t>
      </w:r>
      <w:r>
        <w:t xml:space="preserve"> </w:t>
      </w:r>
      <w:r>
        <w:t xml:space="preserve">journal entries are identified by</w:t>
      </w:r>
      <w:r>
        <w:t xml:space="preserve"> </w:t>
      </w:r>
      <w:r>
        <w:rPr>
          <w:bCs/>
          <w:b/>
        </w:rPr>
        <w:t xml:space="preserve">document type</w:t>
      </w:r>
      <w:r>
        <w:t xml:space="preserve"> </w:t>
      </w:r>
      <w:r>
        <w:t xml:space="preserve">— and the document types your client uses for manual entries are client-specific configuration.</w:t>
      </w:r>
    </w:p>
    <w:p>
      <w:pPr>
        <w:pStyle w:val="BodyText"/>
      </w:pPr>
      <w:r>
        <w:t xml:space="preserve">You</w:t>
      </w:r>
      <w:r>
        <w:t xml:space="preserve"> </w:t>
      </w:r>
      <w:r>
        <w:rPr>
          <w:bCs/>
          <w:b/>
        </w:rPr>
        <w:t xml:space="preserve">confirm</w:t>
      </w:r>
      <w:r>
        <w:t xml:space="preserve"> </w:t>
      </w:r>
      <w:r>
        <w:t xml:space="preserve">them. You don’t assume them.</w:t>
      </w:r>
    </w:p>
    <w:p>
      <w:pPr>
        <w:pStyle w:val="BodyText"/>
      </w:pPr>
      <w:r>
        <w:t xml:space="preserve">Get that wrong and your population silently leaves out exactly the entries you were looking for.</w:t>
      </w:r>
    </w:p>
    <w:p>
      <w:pPr>
        <w:pStyle w:val="BodyText"/>
      </w:pPr>
      <w:r>
        <w:t xml:space="preserve">When the report isn’t enough, go to the tables:</w:t>
      </w:r>
      <w:r>
        <w:t xml:space="preserve"> </w:t>
      </w:r>
      <w:r>
        <w:rPr>
          <w:rStyle w:val="VerbatimChar"/>
        </w:rPr>
        <w:t xml:space="preserve">SE16N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BKPF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BSEG</w:t>
      </w:r>
      <w:r>
        <w:t xml:space="preserve">.</w:t>
      </w:r>
    </w:p>
    <w:bookmarkEnd w:id="25"/>
    <w:bookmarkStart w:id="26" w:name="fb03-the-header"/>
    <w:p>
      <w:pPr>
        <w:pStyle w:val="Heading2"/>
      </w:pPr>
      <w:r>
        <w:rPr>
          <w:rStyle w:val="VerbatimChar"/>
        </w:rPr>
        <w:t xml:space="preserve">FB03</w:t>
      </w:r>
      <w:r>
        <w:t xml:space="preserve"> </w:t>
      </w:r>
      <w:r>
        <w:t xml:space="preserve">— the header</w:t>
      </w:r>
    </w:p>
    <w:p>
      <w:pPr>
        <w:pStyle w:val="FirstParagraph"/>
      </w:pPr>
      <w:r>
        <w:t xml:space="preserve">Open one document and read the header. Who entered it. On what date, at what time. What document type. What posting date.</w:t>
      </w:r>
    </w:p>
    <w:bookmarkEnd w:id="26"/>
    <w:bookmarkStart w:id="27" w:name="swi1-the-number-nobody-captures"/>
    <w:p>
      <w:pPr>
        <w:pStyle w:val="Heading2"/>
      </w:pPr>
      <w:r>
        <w:rPr>
          <w:rStyle w:val="VerbatimChar"/>
        </w:rPr>
        <w:t xml:space="preserve">SWI1</w:t>
      </w:r>
      <w:r>
        <w:t xml:space="preserve"> </w:t>
      </w:r>
      <w:r>
        <w:t xml:space="preserve">— the number nobody captures</w:t>
      </w:r>
    </w:p>
    <w:p>
      <w:pPr>
        <w:pStyle w:val="FirstParagraph"/>
      </w:pPr>
      <w:r>
        <w:rPr>
          <w:rStyle w:val="VerbatimChar"/>
        </w:rPr>
        <w:t xml:space="preserve">SWI1</w:t>
      </w:r>
      <w:r>
        <w:t xml:space="preserve"> </w:t>
      </w:r>
      <w:r>
        <w:t xml:space="preserve">traces the workflow. Not the status —</w:t>
      </w:r>
      <w:r>
        <w:t xml:space="preserve"> </w:t>
      </w:r>
      <w:r>
        <w:rPr>
          <w:bCs/>
          <w:b/>
        </w:rPr>
        <w:t xml:space="preserve">the path</w:t>
      </w:r>
      <w:r>
        <w:t xml:space="preserve">.</w:t>
      </w:r>
    </w:p>
    <w:p>
      <w:pPr>
        <w:pStyle w:val="BodyText"/>
      </w:pPr>
      <w:r>
        <w:t xml:space="preserve">And here’s the field everybody forgets.</w:t>
      </w:r>
    </w:p>
    <w:p>
      <w:pPr>
        <w:pStyle w:val="BodyText"/>
      </w:pPr>
      <w:r>
        <w:rPr>
          <w:bCs/>
          <w:b/>
        </w:rPr>
        <w:t xml:space="preserve">The approval timestamp, against the posting timestamp.</w:t>
      </w:r>
    </w:p>
    <w:p>
      <w:pPr>
        <w:pStyle w:val="BodyText"/>
      </w:pPr>
      <w:r>
        <w:t xml:space="preserve">A completed workflow tells you approval happened. It doesn’t tell you approval happened</w:t>
      </w:r>
      <w:r>
        <w:t xml:space="preserve"> </w:t>
      </w:r>
      <w:r>
        <w:rPr>
          <w:bCs/>
          <w:b/>
        </w:rPr>
        <w:t xml:space="preserve">first</w:t>
      </w:r>
      <w:r>
        <w:t xml:space="preserve">.</w:t>
      </w:r>
    </w:p>
    <w:p>
      <w:pPr>
        <w:pStyle w:val="BodyText"/>
      </w:pPr>
      <w:r>
        <w:t xml:space="preserve">An approval that lands after the posting is not a preventive control, whatever the status field says. It’s a record of someone agreeing with something that had already gone through.</w:t>
      </w:r>
    </w:p>
    <w:p>
      <w:pPr>
        <w:pStyle w:val="BodyText"/>
      </w:pPr>
      <w:r>
        <w:rPr>
          <w:bCs/>
          <w:b/>
        </w:rPr>
        <w:t xml:space="preserve">That gap, in minutes, is your evidence that the control operated in the direction it claims to.</w:t>
      </w:r>
    </w:p>
    <w:bookmarkEnd w:id="27"/>
    <w:bookmarkStart w:id="28" w:name="and-the-point-of-the-whole-book"/>
    <w:p>
      <w:pPr>
        <w:pStyle w:val="Heading2"/>
      </w:pPr>
      <w:r>
        <w:t xml:space="preserve">And the point of the whole Book</w:t>
      </w:r>
    </w:p>
    <w:p>
      <w:pPr>
        <w:pStyle w:val="FirstParagraph"/>
      </w:pPr>
      <w:r>
        <w:t xml:space="preserve">Everything above is</w:t>
      </w:r>
      <w:r>
        <w:t xml:space="preserve"> </w:t>
      </w:r>
      <w:r>
        <w:rPr>
          <w:bCs/>
          <w:b/>
        </w:rPr>
        <w:t xml:space="preserve">operating effectiveness</w:t>
      </w:r>
      <w:r>
        <w:t xml:space="preserve"> </w:t>
      </w:r>
      <w:r>
        <w:t xml:space="preserve">— did the entries route.</w:t>
      </w:r>
    </w:p>
    <w:p>
      <w:pPr>
        <w:pStyle w:val="BodyText"/>
      </w:pPr>
      <w:r>
        <w:t xml:space="preserve">Book 3’s failure was in</w:t>
      </w:r>
      <w:r>
        <w:t xml:space="preserve"> </w:t>
      </w:r>
      <w:r>
        <w:rPr>
          <w:bCs/>
          <w:b/>
        </w:rPr>
        <w:t xml:space="preserve">configuration</w:t>
      </w:r>
      <w:r>
        <w:t xml:space="preserve"> </w:t>
      </w:r>
      <w:r>
        <w:t xml:space="preserve">— a threshold field with a zero in the wrong place.</w:t>
      </w:r>
    </w:p>
    <w:p>
      <w:pPr>
        <w:pStyle w:val="BodyText"/>
      </w:pPr>
      <w:r>
        <w:t xml:space="preserve">Testing the entries that routed would never have found it, because the entries that routed were fine.</w:t>
      </w:r>
    </w:p>
    <w:p>
      <w:pPr>
        <w:pStyle w:val="BodyText"/>
      </w:pPr>
      <w:r>
        <w:rPr>
          <w:bCs/>
          <w:b/>
        </w:rPr>
        <w:t xml:space="preserve">On an automated control you test the parameter as well as the population.</w:t>
      </w:r>
      <w:r>
        <w:t xml:space="preserve"> </w:t>
      </w:r>
      <w:r>
        <w:t xml:space="preserve">The parameter test takes five minutes. It isn’t optional, and this Book is what it costs to skip it.</w:t>
      </w:r>
    </w:p>
    <w:p>
      <w:pPr>
        <w:pStyle w:val="BodyText"/>
      </w:pPr>
      <w:r>
        <w:t xml:space="preserve">And one more, from the story:</w:t>
      </w:r>
      <w:r>
        <w:t xml:space="preserve"> </w:t>
      </w:r>
      <w:r>
        <w:rPr>
          <w:bCs/>
          <w:b/>
        </w:rPr>
        <w:t xml:space="preserve">the parameter’s value today is not evidence of its value in March.</w:t>
      </w:r>
      <w:r>
        <w:t xml:space="preserve"> </w:t>
      </w:r>
      <w:r>
        <w:t xml:space="preserve">You need the change history across the period.</w:t>
      </w:r>
    </w:p>
    <w:bookmarkEnd w:id="28"/>
    <w:bookmarkStart w:id="29" w:name="what-youll-produce-on-friday"/>
    <w:p>
      <w:pPr>
        <w:pStyle w:val="Heading2"/>
      </w:pPr>
      <w:r>
        <w:t xml:space="preserve">What you’ll produce on Friday</w:t>
      </w:r>
    </w:p>
    <w:p>
      <w:pPr>
        <w:pStyle w:val="FirstParagraph"/>
      </w:pPr>
      <w:r>
        <w:t xml:space="preserve">For one journal entry, the</w:t>
      </w:r>
      <w:r>
        <w:t xml:space="preserve"> </w:t>
      </w:r>
      <w:r>
        <w:rPr>
          <w:bCs/>
          <w:b/>
        </w:rPr>
        <w:t xml:space="preserve">full chain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Who prepared it</w:t>
      </w:r>
    </w:p>
    <w:p>
      <w:pPr>
        <w:numPr>
          <w:ilvl w:val="0"/>
          <w:numId w:val="1002"/>
        </w:numPr>
        <w:pStyle w:val="Compact"/>
      </w:pPr>
      <w:r>
        <w:t xml:space="preserve">Whether it routed</w:t>
      </w:r>
    </w:p>
    <w:p>
      <w:pPr>
        <w:numPr>
          <w:ilvl w:val="0"/>
          <w:numId w:val="1002"/>
        </w:numPr>
        <w:pStyle w:val="Compact"/>
      </w:pPr>
      <w:r>
        <w:t xml:space="preserve">Who approved it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gap between approval timestamp and posting timestamp</w:t>
      </w:r>
    </w:p>
    <w:p>
      <w:pPr>
        <w:pStyle w:val="FirstParagraph"/>
      </w:pPr>
      <w:r>
        <w:t xml:space="preserve">That last number is the one people forget to capture, and it’s the one that shows whether approval preceded posting or merely accompanied 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book-14-the-rule-that-never-fired"/>
    <w:p>
      <w:pPr>
        <w:pStyle w:val="Heading1"/>
      </w:pPr>
      <w:r>
        <w:t xml:space="preserve">BOOK 14 — THE RULE THAT NEVER FIRED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is the monitoring rule actually monitoring anything?</w:t>
      </w:r>
    </w:p>
    <w:bookmarkStart w:id="31" w:name="the-screens-1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GRC Process Control — business rule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rule evaluates: data source, filter condition, deficiency criteria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GRC Process Control — execution history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Did it run, when, with what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was the definition last modified, and by whom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SM37</w:t>
            </w:r>
            <w:r>
              <w:t xml:space="preserve"> </w:t>
            </w:r>
            <w:r>
              <w:rPr>
                <w:iCs/>
                <w:i/>
              </w:rPr>
              <w:t xml:space="preserve">(fallback)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Job execution history, if this environment has no Process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SE16N</w:t>
            </w:r>
            <w:r>
              <w:t xml:space="preserve"> </w:t>
            </w:r>
            <w:r>
              <w:t xml:space="preserve">with change documents</w:t>
            </w:r>
            <w:r>
              <w:t xml:space="preserve"> </w:t>
            </w:r>
            <w:r>
              <w:rPr>
                <w:iCs/>
                <w:i/>
              </w:rPr>
              <w:t xml:space="preserve">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underlying configuration was last 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If your training environment has no GRC Process Control</w:t>
      </w:r>
      <w:r>
        <w:t xml:space="preserve">, the facilitator will show you the same three facts using</w:t>
      </w:r>
      <w:r>
        <w:t xml:space="preserve"> </w:t>
      </w:r>
      <w:r>
        <w:rPr>
          <w:rStyle w:val="VerbatimChar"/>
        </w:rPr>
        <w:t xml:space="preserve">SM37</w:t>
      </w:r>
      <w:r>
        <w:t xml:space="preserve"> </w:t>
      </w:r>
      <w:r>
        <w:t xml:space="preserve">and change documents. That substitution is itself the lesson:</w:t>
      </w:r>
      <w:r>
        <w:t xml:space="preserve"> </w:t>
      </w:r>
      <w:r>
        <w:rPr>
          <w:bCs/>
          <w:b/>
        </w:rPr>
        <w:t xml:space="preserve">the tool changes at every client. The three questions don’t.</w:t>
      </w:r>
    </w:p>
    <w:bookmarkEnd w:id="31"/>
    <w:bookmarkStart w:id="32" w:name="Xa4b9e4990abd9c8f2ead6911161e0af083c0688"/>
    <w:p>
      <w:pPr>
        <w:pStyle w:val="Heading2"/>
      </w:pPr>
      <w:r>
        <w:t xml:space="preserve">Three facts. That’s all this Book asks for</w:t>
      </w:r>
    </w:p>
    <w:p>
      <w:pPr>
        <w:pStyle w:val="FirstParagraph"/>
      </w:pPr>
      <w:r>
        <w:t xml:space="preserve">If you can find these three for one rule, you can test any automated monitoring rule on any platform ever built.</w:t>
      </w:r>
    </w:p>
    <w:p>
      <w:pPr>
        <w:pStyle w:val="BodyText"/>
      </w:pPr>
      <w:r>
        <w:rPr>
          <w:bCs/>
          <w:b/>
        </w:rPr>
        <w:t xml:space="preserve">Fact one — what does it actually evaluate?</w:t>
      </w:r>
    </w:p>
    <w:p>
      <w:pPr>
        <w:pStyle w:val="BodyText"/>
      </w:pPr>
      <w:r>
        <w:t xml:space="preserve">Open the rule definition. Read the data source, the filter condition, and the criteria that decide what counts as a deficiency.</w:t>
      </w:r>
      <w:r>
        <w:t xml:space="preserve"> </w:t>
      </w:r>
      <w:r>
        <w:rPr>
          <w:bCs/>
          <w:b/>
        </w:rPr>
        <w:t xml:space="preserve">Read the condition out loud.</w:t>
      </w:r>
    </w:p>
    <w:p>
      <w:pPr>
        <w:pStyle w:val="BodyText"/>
      </w:pPr>
      <w:r>
        <w:t xml:space="preserve">Then compare it with what the control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claims it does.</w:t>
      </w:r>
    </w:p>
    <w:p>
      <w:pPr>
        <w:pStyle w:val="BodyText"/>
      </w:pPr>
      <w:r>
        <w:t xml:space="preserve">In Book 14, the description said the rule monitored vendor bank detail changes near payment runs. Read the condition and check whether it does.</w:t>
      </w:r>
    </w:p>
    <w:p>
      <w:pPr>
        <w:pStyle w:val="BodyText"/>
      </w:pPr>
      <w:r>
        <w:rPr>
          <w:bCs/>
          <w:b/>
        </w:rPr>
        <w:t xml:space="preserve">A control description is a claim. The rule definition is the fact. When they disagree, the rule wins — and the description is your finding.</w:t>
      </w:r>
    </w:p>
    <w:p>
      <w:pPr>
        <w:pStyle w:val="BodyText"/>
      </w:pPr>
      <w:r>
        <w:rPr>
          <w:bCs/>
          <w:b/>
        </w:rPr>
        <w:t xml:space="preserve">Fact two — when did it last run?</w:t>
      </w:r>
    </w:p>
    <w:p>
      <w:pPr>
        <w:pStyle w:val="BodyText"/>
      </w:pPr>
      <w:r>
        <w:t xml:space="preserve">Scheduled is not the same as executed.</w:t>
      </w:r>
    </w:p>
    <w:p>
      <w:pPr>
        <w:pStyle w:val="BodyText"/>
      </w:pPr>
      <w:r>
        <w:t xml:space="preserve">A rule can sit scheduled and never fire — a scheduling change, a failed job, a deactivated data source.</w:t>
      </w:r>
    </w:p>
    <w:p>
      <w:pPr>
        <w:pStyle w:val="BodyText"/>
      </w:pPr>
      <w:r>
        <w:rPr>
          <w:bCs/>
          <w:b/>
        </w:rPr>
        <w:t xml:space="preserve">Six weeks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exceptions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and six weeks of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didn’t run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produce the same silence.</w:t>
      </w:r>
      <w:r>
        <w:t xml:space="preserve"> </w:t>
      </w:r>
      <w:r>
        <w:t xml:space="preserve">Only the execution history tells them apart.</w:t>
      </w:r>
    </w:p>
    <w:p>
      <w:pPr>
        <w:pStyle w:val="BodyText"/>
      </w:pPr>
      <w:r>
        <w:rPr>
          <w:bCs/>
          <w:b/>
        </w:rPr>
        <w:t xml:space="preserve">Fact three — when was it last changed?</w:t>
      </w:r>
    </w:p>
    <w:p>
      <w:pPr>
        <w:pStyle w:val="BodyText"/>
      </w:pPr>
      <w:r>
        <w:t xml:space="preserve">The one nobody thinks to look for.</w:t>
      </w:r>
    </w:p>
    <w:p>
      <w:pPr>
        <w:pStyle w:val="BodyText"/>
      </w:pPr>
      <w:r>
        <w:t xml:space="preserve">A rule that was correct all year and modified in November is</w:t>
      </w:r>
      <w:r>
        <w:t xml:space="preserve"> </w:t>
      </w:r>
      <w:r>
        <w:rPr>
          <w:bCs/>
          <w:b/>
        </w:rPr>
        <w:t xml:space="preserve">two different controls</w:t>
      </w:r>
      <w:r>
        <w:t xml:space="preserve">. Your conclusion has to cover both periods separately.</w:t>
      </w:r>
    </w:p>
    <w:bookmarkEnd w:id="32"/>
    <w:bookmarkStart w:id="33" w:name="the-thing-no-screen-shows-you"/>
    <w:p>
      <w:pPr>
        <w:pStyle w:val="Heading2"/>
      </w:pPr>
      <w:r>
        <w:t xml:space="preserve">The thing no screen shows you</w:t>
      </w:r>
    </w:p>
    <w:p>
      <w:pPr>
        <w:pStyle w:val="FirstParagraph"/>
      </w:pPr>
      <w:r>
        <w:rPr>
          <w:bCs/>
          <w:b/>
        </w:rPr>
        <w:t xml:space="preserve">A clean result is only evidence if you have established the control was capable of producing a dirty one.</w:t>
      </w:r>
    </w:p>
    <w:p>
      <w:pPr>
        <w:pStyle w:val="BodyText"/>
      </w:pPr>
      <w:r>
        <w:t xml:space="preserve">The strongest way to establish that — and the one juniors never think of — is to go and</w:t>
      </w:r>
      <w:r>
        <w:t xml:space="preserve"> </w:t>
      </w:r>
      <w:r>
        <w:rPr>
          <w:bCs/>
          <w:b/>
        </w:rPr>
        <w:t xml:space="preserve">find a transaction that meets the rule’s condition, independently</w:t>
      </w:r>
      <w:r>
        <w:t xml:space="preserve">. Then confirm the rule flagged it.</w:t>
      </w:r>
    </w:p>
    <w:p>
      <w:pPr>
        <w:pStyle w:val="BodyText"/>
      </w:pPr>
      <w:r>
        <w:t xml:space="preserve">You are not testing whether the report is empty.</w:t>
      </w:r>
      <w:r>
        <w:t xml:space="preserve"> </w:t>
      </w:r>
      <w:r>
        <w:rPr>
          <w:bCs/>
          <w:b/>
        </w:rPr>
        <w:t xml:space="preserve">You are testing whether the report is capable of not being empty.</w:t>
      </w:r>
    </w:p>
    <w:p>
      <w:pPr>
        <w:pStyle w:val="BodyText"/>
      </w:pPr>
      <w:r>
        <w:t xml:space="preserve">That’s a different test. It’s the one that would have caught Book 14 in week one instead of week six.</w:t>
      </w:r>
    </w:p>
    <w:bookmarkEnd w:id="33"/>
    <w:bookmarkStart w:id="34" w:name="what-youll-produce-on-friday-1"/>
    <w:p>
      <w:pPr>
        <w:pStyle w:val="Heading2"/>
      </w:pPr>
      <w:r>
        <w:t xml:space="preserve">What you’ll produce on Friday</w:t>
      </w:r>
    </w:p>
    <w:p>
      <w:pPr>
        <w:pStyle w:val="FirstParagraph"/>
      </w:pPr>
      <w:r>
        <w:t xml:space="preserve">For one rule, in your own words:</w:t>
      </w:r>
    </w:p>
    <w:p>
      <w:pPr>
        <w:numPr>
          <w:ilvl w:val="0"/>
          <w:numId w:val="1003"/>
        </w:numPr>
        <w:pStyle w:val="Compact"/>
      </w:pPr>
      <w:r>
        <w:t xml:space="preserve">What it evaluates</w:t>
      </w:r>
    </w:p>
    <w:p>
      <w:pPr>
        <w:numPr>
          <w:ilvl w:val="0"/>
          <w:numId w:val="1003"/>
        </w:numPr>
        <w:pStyle w:val="Compact"/>
      </w:pPr>
      <w:r>
        <w:t xml:space="preserve">When it last ran</w:t>
      </w:r>
    </w:p>
    <w:p>
      <w:pPr>
        <w:numPr>
          <w:ilvl w:val="0"/>
          <w:numId w:val="1003"/>
        </w:numPr>
        <w:pStyle w:val="Compact"/>
      </w:pPr>
      <w:r>
        <w:t xml:space="preserve">When it was last changed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book-12-the-four-day-clock"/>
    <w:p>
      <w:pPr>
        <w:pStyle w:val="Heading1"/>
      </w:pPr>
      <w:r>
        <w:t xml:space="preserve">BOOK 12 — THE FOUR-DAY CLOCK</w:t>
      </w:r>
    </w:p>
    <w:p>
      <w:pPr>
        <w:pStyle w:val="FirstParagraph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did the incident reach the people who could assess materiality, without unreasonable delay?</w:t>
      </w:r>
    </w:p>
    <w:p>
      <w:pPr>
        <w:pStyle w:val="BodyText"/>
      </w:pPr>
      <w:r>
        <w:rPr>
          <w:bCs/>
          <w:b/>
        </w:rPr>
        <w:t xml:space="preserve">This one is short and deliberately different.</w:t>
      </w:r>
    </w:p>
    <w:bookmarkStart w:id="36" w:name="most-of-the-evidence-isnt-in-sap"/>
    <w:p>
      <w:pPr>
        <w:pStyle w:val="Heading2"/>
      </w:pPr>
      <w:r>
        <w:t xml:space="preserve">Most of the evidence isn’t in SAP</w:t>
      </w:r>
    </w:p>
    <w:p>
      <w:pPr>
        <w:pStyle w:val="FirstParagraph"/>
      </w:pPr>
      <w:r>
        <w:t xml:space="preserve">The incident record, the escalation criteria, the disclosure committee’s minutes, the materiality determination — those live in a SIEM, a ticket system, and a set of committee papers.</w:t>
      </w:r>
    </w:p>
    <w:p>
      <w:pPr>
        <w:pStyle w:val="BodyText"/>
      </w:pPr>
      <w:r>
        <w:rPr>
          <w:bCs/>
          <w:b/>
        </w:rPr>
        <w:t xml:space="preserve">SAP corroborates. It does not carry this control.</w:t>
      </w:r>
    </w:p>
    <w:p>
      <w:pPr>
        <w:pStyle w:val="BodyText"/>
      </w:pPr>
      <w:r>
        <w:t xml:space="preserve">So what you’re doing on Friday is the corroboration — and learning to say honestly what it does and doesn’t prove.</w:t>
      </w:r>
    </w:p>
    <w:bookmarkEnd w:id="36"/>
    <w:bookmarkStart w:id="37" w:name="the-screens-2"/>
    <w:p>
      <w:pPr>
        <w:pStyle w:val="Heading2"/>
      </w:pPr>
      <w:r>
        <w:t xml:space="preserve">The screens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Screen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it’s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log — errors, abends, database issues, some security-relevant events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SM20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Security audit log — failed logons, transaction starts, user master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SM19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configuration</w:t>
            </w:r>
            <w:r>
              <w:t xml:space="preserve"> </w:t>
            </w:r>
            <w:r>
              <w:t xml:space="preserve">behind</w:t>
            </w:r>
            <w:r>
              <w:t xml:space="preserve"> </w:t>
            </w:r>
            <w:r>
              <w:rPr>
                <w:rStyle w:val="VerbatimChar"/>
              </w:rPr>
              <w:t xml:space="preserve">SM20</w:t>
            </w:r>
            <w:r>
              <w:t xml:space="preserve">. What is actually being captured.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STMS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SE01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Cross-reference: was an emergency change made around the incident date?</w:t>
            </w:r>
          </w:p>
        </w:tc>
      </w:tr>
    </w:tbl>
    <w:bookmarkEnd w:id="37"/>
    <w:bookmarkStart w:id="38" w:name="sm21-and-the-retention-question"/>
    <w:p>
      <w:pPr>
        <w:pStyle w:val="Heading2"/>
      </w:pPr>
      <w:r>
        <w:rPr>
          <w:rStyle w:val="VerbatimChar"/>
        </w:rPr>
        <w:t xml:space="preserve">SM21</w:t>
      </w:r>
      <w:r>
        <w:t xml:space="preserve"> </w:t>
      </w:r>
      <w:r>
        <w:t xml:space="preserve">— and the retention question</w:t>
      </w:r>
    </w:p>
    <w:p>
      <w:pPr>
        <w:pStyle w:val="FirstParagraph"/>
      </w:pPr>
      <w:r>
        <w:t xml:space="preserve">Set the date and time range.</w:t>
      </w:r>
    </w:p>
    <w:p>
      <w:pPr>
        <w:pStyle w:val="BodyText"/>
      </w:pPr>
      <w:r>
        <w:t xml:space="preserve">And note this log is</w:t>
      </w:r>
      <w:r>
        <w:t xml:space="preserve"> </w:t>
      </w:r>
      <w:r>
        <w:rPr>
          <w:bCs/>
          <w:b/>
        </w:rPr>
        <w:t xml:space="preserve">limited by retention</w:t>
      </w:r>
      <w:r>
        <w:t xml:space="preserve">. So on a real engagement, your first question is how far back it actually goes.</w:t>
      </w:r>
    </w:p>
    <w:p>
      <w:pPr>
        <w:pStyle w:val="BodyText"/>
      </w:pPr>
      <w:r>
        <w:rPr>
          <w:bCs/>
          <w:b/>
        </w:rPr>
        <w:t xml:space="preserve">A log that only keeps thirty days cannot evidence an incident from March.</w:t>
      </w:r>
    </w:p>
    <w:bookmarkEnd w:id="38"/>
    <w:bookmarkStart w:id="39" w:name="X4cbfdbd17e37d06cbc981ba3abd217ad380d732"/>
    <w:p>
      <w:pPr>
        <w:pStyle w:val="Heading2"/>
      </w:pPr>
      <w:r>
        <w:rPr>
          <w:rStyle w:val="VerbatimChar"/>
        </w:rPr>
        <w:t xml:space="preserve">SM20</w:t>
      </w:r>
      <w:r>
        <w:t xml:space="preserve"> </w:t>
      </w:r>
      <w:r>
        <w:t xml:space="preserve">— and the most important thing on this screen</w:t>
      </w:r>
    </w:p>
    <w:p>
      <w:pPr>
        <w:pStyle w:val="FirstParagraph"/>
      </w:pPr>
      <w:r>
        <w:t xml:space="preserve">The security audit log has to be</w:t>
      </w:r>
      <w:r>
        <w:t xml:space="preserve"> </w:t>
      </w:r>
      <w:r>
        <w:rPr>
          <w:bCs/>
          <w:b/>
        </w:rPr>
        <w:t xml:space="preserve">switched on</w:t>
      </w:r>
      <w:r>
        <w:t xml:space="preserve">.</w:t>
      </w:r>
    </w:p>
    <w:p>
      <w:pPr>
        <w:pStyle w:val="BodyText"/>
      </w:pPr>
      <w:r>
        <w:t xml:space="preserve">It’s configured in</w:t>
      </w:r>
      <w:r>
        <w:t xml:space="preserve"> </w:t>
      </w:r>
      <w:r>
        <w:rPr>
          <w:rStyle w:val="VerbatimChar"/>
        </w:rPr>
        <w:t xml:space="preserve">SM19</w:t>
      </w:r>
      <w:r>
        <w:t xml:space="preserve">, per system, per filter. On plenty of systems it’s either off, or filtered so narrowly it captures almost nothing.</w:t>
      </w:r>
    </w:p>
    <w:p>
      <w:pPr>
        <w:pStyle w:val="BodyText"/>
      </w:pPr>
      <w:r>
        <w:t xml:space="preserve">So when you run it and get little or nothing back, you have</w:t>
      </w:r>
      <w:r>
        <w:t xml:space="preserve"> </w:t>
      </w:r>
      <w:r>
        <w:rPr>
          <w:bCs/>
          <w:b/>
        </w:rPr>
        <w:t xml:space="preserve">two completely different possible conclusions</w:t>
      </w:r>
      <w:r>
        <w:t xml:space="preserve">, and they are nothing alike: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Nothing happened</w:t>
      </w:r>
      <w:r>
        <w:t xml:space="preserve">, 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Nothing was being recorded.</w:t>
      </w:r>
    </w:p>
    <w:p>
      <w:pPr>
        <w:pStyle w:val="FirstParagraph"/>
      </w:pPr>
      <w:r>
        <w:rPr>
          <w:bCs/>
          <w:b/>
        </w:rPr>
        <w:t xml:space="preserve">Which means your first question is never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does the log show.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It’s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what is this log configured to capture, and since when?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And if the answer is that security audit logging isn’t enabled on a production financial system —</w:t>
      </w:r>
      <w:r>
        <w:t xml:space="preserve"> </w:t>
      </w:r>
      <w:r>
        <w:rPr>
          <w:bCs/>
          <w:b/>
        </w:rPr>
        <w:t xml:space="preserve">that’s a finding in its own right, and a serious one.</w:t>
      </w:r>
      <w:r>
        <w:t xml:space="preserve"> </w:t>
      </w:r>
      <w:r>
        <w:t xml:space="preserve">Entirely separate from whatever you were originally testing.</w:t>
      </w:r>
    </w:p>
    <w:p>
      <w:pPr>
        <w:pStyle w:val="BodyText"/>
      </w:pPr>
      <w:r>
        <w:t xml:space="preserve">You went looking for evidence about an incident, and found that the system can’t produce evidence about anything.</w:t>
      </w:r>
    </w:p>
    <w:p>
      <w:pPr>
        <w:pStyle w:val="BodyText"/>
      </w:pPr>
      <w:r>
        <w:rPr>
          <w:bCs/>
          <w:b/>
        </w:rPr>
        <w:t xml:space="preserve">That is the last and best example of the sentence you’ve heard all fortnight.</w:t>
      </w:r>
      <w:r>
        <w:t xml:space="preserve"> </w:t>
      </w:r>
      <w:r>
        <w:t xml:space="preserve">An empty audit log on a system with auditing switched off is the purest form of a clean result from a control that could never have produced a dirty one.</w:t>
      </w:r>
    </w:p>
    <w:bookmarkEnd w:id="39"/>
    <w:bookmarkStart w:id="40" w:name="the-cross-reference-people-forget"/>
    <w:p>
      <w:pPr>
        <w:pStyle w:val="Heading2"/>
      </w:pPr>
      <w:r>
        <w:t xml:space="preserve">The cross-reference people forget</w:t>
      </w:r>
    </w:p>
    <w:p>
      <w:pPr>
        <w:pStyle w:val="FirstParagraph"/>
      </w:pPr>
      <w:r>
        <w:t xml:space="preserve">Take the incident date and look at production imports around it.</w:t>
      </w:r>
    </w:p>
    <w:p>
      <w:pPr>
        <w:pStyle w:val="BodyText"/>
      </w:pPr>
      <w:r>
        <w:rPr>
          <w:bCs/>
          <w:b/>
        </w:rPr>
        <w:t xml:space="preserve">An incident that triggered an unapproved emergency production change is two findings and one story.</w:t>
      </w:r>
    </w:p>
    <w:p>
      <w:pPr>
        <w:pStyle w:val="BodyText"/>
      </w:pPr>
      <w:r>
        <w:t xml:space="preserve">And neither the security team nor the change team will tell you — because each of them only sees their half.</w:t>
      </w:r>
    </w:p>
    <w:bookmarkEnd w:id="40"/>
    <w:bookmarkStart w:id="41" w:name="what-youll-produce-on-friday-2"/>
    <w:p>
      <w:pPr>
        <w:pStyle w:val="Heading2"/>
      </w:pPr>
      <w:r>
        <w:t xml:space="preserve">What you’ll produce on Friday</w:t>
      </w:r>
    </w:p>
    <w:p>
      <w:pPr>
        <w:numPr>
          <w:ilvl w:val="0"/>
          <w:numId w:val="1005"/>
        </w:numPr>
        <w:pStyle w:val="Compact"/>
      </w:pPr>
      <w:r>
        <w:t xml:space="preserve">One screenshot of a security audit log entry</w:t>
      </w:r>
    </w:p>
    <w:p>
      <w:pPr>
        <w:numPr>
          <w:ilvl w:val="0"/>
          <w:numId w:val="1005"/>
        </w:numPr>
        <w:pStyle w:val="Compact"/>
      </w:pPr>
      <w:r>
        <w:t xml:space="preserve">A sentence on what it tells you</w:t>
      </w:r>
      <w:r>
        <w:t xml:space="preserve"> </w:t>
      </w:r>
      <w:r>
        <w:rPr>
          <w:bCs/>
          <w:b/>
        </w:rPr>
        <w:t xml:space="preserve">and what it doesn’t</w:t>
      </w:r>
    </w:p>
    <w:p>
      <w:pPr>
        <w:numPr>
          <w:ilvl w:val="0"/>
          <w:numId w:val="1005"/>
        </w:numPr>
        <w:pStyle w:val="Compact"/>
      </w:pPr>
      <w:r>
        <w:t xml:space="preserve">If you can find it: what this system is configured to capture at all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your-final-deliverable"/>
    <w:p>
      <w:pPr>
        <w:pStyle w:val="Heading1"/>
      </w:pPr>
      <w:r>
        <w:t xml:space="preserve">Your final deliverable</w:t>
      </w:r>
    </w:p>
    <w:p>
      <w:pPr>
        <w:pStyle w:val="FirstParagraph"/>
      </w:pPr>
      <w:r>
        <w:rPr>
          <w:bCs/>
          <w:b/>
        </w:rPr>
        <w:t xml:space="preserve">One workpaper. Book 3, The Approval Limit. Due within one week.</w:t>
      </w:r>
    </w:p>
    <w:p>
      <w:pPr>
        <w:pStyle w:val="BodyText"/>
      </w:pPr>
      <w:r>
        <w:t xml:space="preserve">The full standard from Part 6’s field list, plus two specific requirements.</w:t>
      </w:r>
    </w:p>
    <w:p>
      <w:pPr>
        <w:pStyle w:val="BodyText"/>
      </w:pPr>
      <w:r>
        <w:rPr>
          <w:bCs/>
          <w:b/>
        </w:rPr>
        <w:t xml:space="preserve">Both limbs.</w:t>
      </w:r>
      <w:r>
        <w:t xml:space="preserve"> </w:t>
      </w:r>
      <w:r>
        <w:t xml:space="preserve">Your workpaper must contain configuration testing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operating effectiveness testing, as separate procedures with separate results.</w:t>
      </w:r>
    </w:p>
    <w:p>
      <w:pPr>
        <w:pStyle w:val="BodyText"/>
      </w:pPr>
      <w:r>
        <w:t xml:space="preserve">If it only covers the operating limb, it’s incomplete — no matter how good the rest of it is. That’s the whole lesson of the Book.</w:t>
      </w:r>
    </w:p>
    <w:p>
      <w:pPr>
        <w:pStyle w:val="BodyText"/>
      </w:pPr>
      <w:r>
        <w:rPr>
          <w:bCs/>
          <w:b/>
        </w:rPr>
        <w:t xml:space="preserve">A conclusion in one paragraph.</w:t>
      </w:r>
      <w:r>
        <w:t xml:space="preserve"> </w:t>
      </w:r>
      <w:r>
        <w:t xml:space="preserve">Your tester conclusion has to be a single paragraph a Financial Controller could read without asking a follow-up question.</w:t>
      </w:r>
    </w:p>
    <w:p>
      <w:pPr>
        <w:pStyle w:val="BodyText"/>
      </w:pPr>
      <w:r>
        <w:t xml:space="preserve">What. How many. How much. Cause. Duration.</w:t>
      </w:r>
    </w:p>
    <w:p>
      <w:r>
        <w:pict>
          <v:rect style="width:0;height:1.5pt" o:hralign="center" o:hrstd="t" o:hr="t"/>
        </w:pict>
      </w:r>
    </w:p>
    <w:bookmarkEnd w:id="43"/>
    <w:bookmarkStart w:id="44" w:name="for-fridays-close"/>
    <w:p>
      <w:pPr>
        <w:pStyle w:val="Heading1"/>
      </w:pPr>
      <w:r>
        <w:t xml:space="preserve">For Friday’s close</w:t>
      </w:r>
    </w:p>
    <w:p>
      <w:pPr>
        <w:pStyle w:val="FirstParagraph"/>
      </w:pPr>
      <w:r>
        <w:t xml:space="preserve">Bring</w:t>
      </w:r>
      <w:r>
        <w:t xml:space="preserve"> </w:t>
      </w:r>
      <w:r>
        <w:rPr>
          <w:bCs/>
          <w:b/>
        </w:rPr>
        <w:t xml:space="preserve">one question</w:t>
      </w:r>
      <w:r>
        <w:t xml:space="preserve"> </w:t>
      </w:r>
      <w:r>
        <w:t xml:space="preserve">about anything from the whole fortnight.</w:t>
      </w:r>
    </w:p>
    <w:p>
      <w:pPr>
        <w:pStyle w:val="BodyText"/>
      </w:pPr>
      <w:r>
        <w:t xml:space="preserve">Not a question about a screen — you can look those up. A question about judgement, or scope, or what you’d do when the person you were going to ask is unavailable.</w:t>
      </w:r>
    </w:p>
    <w:p>
      <w:pPr>
        <w:pStyle w:val="BodyText"/>
      </w:pPr>
      <w:r>
        <w:t xml:space="preserve">That’s the part you can’t look up, and Friday’s close has a slot for exactly that.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Reading Pack 6 — Before Friday, Week 2</dc:title>
  <dc:creator>SAP SOX / ITGC Controls — Course 1: The Full Sweep · Thornfield Industrial Group</dc:creator>
  <cp:keywords/>
  <dcterms:created xsi:type="dcterms:W3CDTF">2026-09-05T23:33:24Z</dcterms:created>
  <dcterms:modified xsi:type="dcterms:W3CDTF">2026-09-05T23:33:24Z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Module 3 hands on · Books 3, 14 and 12 · and the course close</vt:lpwstr>
  </property>
</Properties>
</file>