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1"/>
        </w:rPr>
        <w:t>Reading Packs — Days 12–20 (Parts VII–XII, Books 23–40)</w:t>
      </w:r>
    </w:p>
    <w:p>
      <w:r>
        <w:rPr>
          <w:i/>
        </w:rPr>
        <w:t>SAP SOX / ITGC Controls — Course 1 · Companion to the 20-Day Master Delivery Schedule</w:t>
      </w:r>
    </w:p>
    <w:p>
      <w:r>
        <w:t>A note on how these differ from Reading Packs 1–6: Books 1–22 each have a full narrative novella in the Junior Study Guide, and the original packs draw on that story and hand-written teaching notes. Only Book 1 exists as a complete novella; Books 23–40 exist in the app as structured scope/intro/pitfall/execution data. These packs are built directly from that data — factually accurate, but without invented story narrative. If full novellas for Books 23–40 are written later, these packs should be revisited.</w:t>
      </w:r>
    </w:p>
    <w:p>
      <w:r>
        <w:br w:type="page"/>
      </w:r>
    </w:p>
    <w:p>
      <w:pPr>
        <w:pStyle w:val="Heading1"/>
      </w:pPr>
      <w:r>
        <w:rPr>
          <w:color w:val="1B2A41"/>
        </w:rPr>
        <w:t>Before Day 12</w:t>
      </w:r>
    </w:p>
    <w:p>
      <w:r>
        <w:rPr>
          <w:i/>
        </w:rPr>
        <w:t>Part VII — Business Application Controls</w:t>
      </w:r>
    </w:p>
    <w:p>
      <w:pPr>
        <w:pStyle w:val="Heading2"/>
      </w:pPr>
      <w:r>
        <w:t>BOOK 24 — THE MATCH THAT WASN'T</w:t>
      </w:r>
    </w:p>
    <w:p>
      <w:r>
        <w:rPr>
          <w:b/>
        </w:rPr>
        <w:t>Scope area: Two-Way vs. Three-Way Match Configuration Testing</w:t>
      </w:r>
    </w:p>
    <w:p>
      <w:r>
        <w:t>Confirm whether the three-way match (purchase order, goods receipt, invoice) is actually configured and enforced at every plant, not just documented in the control matrix.</w:t>
      </w:r>
    </w:p>
    <w:p>
      <w:pPr>
        <w:pStyle w:val="Heading3"/>
      </w:pPr>
      <w:r>
        <w:t>What to watch for</w:t>
      </w:r>
    </w:p>
    <w:p>
      <w:r>
        <w:t>A clean sample proves nothing if the underlying configuration only ever allows a match to occur — test the configuration itself before testing transactions against it, since a setting that cannot fail is not a control.</w:t>
      </w:r>
    </w:p>
    <w:p>
      <w:pPr>
        <w:pStyle w:val="Heading3"/>
      </w:pPr>
      <w:r>
        <w:t>Evidence you will need</w:t>
      </w:r>
    </w:p>
    <w:p>
      <w:r>
        <w:t>The EKPO extract by plant showing which plants are configured for two-way match, the transport/change history for that configuration, and at least one ME23N Purchase Order History screenshot showing the posting-date sequence of PO, goods receipt, and invoice.</w:t>
      </w:r>
    </w:p>
    <w:p>
      <w:pPr>
        <w:pStyle w:val="Heading3"/>
      </w:pPr>
      <w:r>
        <w:t>Execution steps (as they appear in the app)</w:t>
      </w:r>
    </w:p>
    <w:p>
      <w:r>
        <w:rPr>
          <w:b/>
        </w:rPr>
        <w:t xml:space="preserve">SE16N (SAP GUI): </w:t>
      </w:r>
      <w:r>
        <w:t>Display table EKPO (purchase order line items) with fields WEPOS (goods receipt indicator) and REPOS (invoice receipt indicator) added via field selection — they are not on the default layout. Filter WEPOS blank to find lines configured for two-way match with no goods receipt expected. Add WERKS (plant) and re-run, since match configuration is set per plant, not company-wide. [Navigation: type SE16N in the command field, enter EKPO, use Change Field Selection to add WEPOS/REPOS to the display, set your date range, execute, then re-run grouped by WERKS.]</w:t>
      </w:r>
    </w:p>
    <w:p>
      <w:r>
        <w:rPr>
          <w:b/>
        </w:rPr>
        <w:t xml:space="preserve">SE01 / STMS (SAP GUI): </w:t>
      </w:r>
      <w:r>
        <w:t>Pull the transport/change history for the two-way-match configuration to establish when it moved to production. [Navigation: type SE01 or STMS in the command field and review the change/transport log for the relevant configuration table.]</w:t>
      </w:r>
    </w:p>
    <w:p>
      <w:r>
        <w:rPr>
          <w:b/>
        </w:rPr>
        <w:t xml:space="preserve">SE16N (SAP GUI): </w:t>
      </w:r>
      <w:r>
        <w:t>Display table RSEG (invoice line items) for your test period and select a sample with PO references. [Navigation: type SE16N, enter RSEG, set your date range, execute.]</w:t>
      </w:r>
    </w:p>
    <w:p>
      <w:r>
        <w:rPr>
          <w:b/>
        </w:rPr>
        <w:t xml:space="preserve">ME23N (SAP GUI): </w:t>
      </w:r>
      <w:r>
        <w:t>Display the purchase order for each sampled invoice and open the Purchase Order History tab — confirm all three documents exist and check the posting order. [Navigation: type ME23N, enter the PO number, open the Purchase Order History tab.]</w:t>
      </w:r>
    </w:p>
    <w:p>
      <w:r>
        <w:rPr>
          <w:b/>
        </w:rPr>
        <w:t xml:space="preserve">MB51 (SAP GUI): </w:t>
      </w:r>
      <w:r>
        <w:t>Pull the material document list as an independent check that the goods receipt is real. [Navigation: type MB51, enter the material/plant and date range, execute.]</w:t>
      </w:r>
    </w:p>
    <w:p>
      <w:pPr>
        <w:pStyle w:val="Heading2"/>
      </w:pPr>
      <w:r>
        <w:t>BOOK 25 — THE FILE THAT LEFT TWICE</w:t>
      </w:r>
    </w:p>
    <w:p>
      <w:r>
        <w:rPr>
          <w:b/>
        </w:rPr>
        <w:t>Scope area: Payment Run Duplicate &amp; SoD Testing</w:t>
      </w:r>
    </w:p>
    <w:p>
      <w:r>
        <w:t>Test whether the payment run process can produce — and would catch — a duplicate bank file transmission, and confirm proposal creation and release are performed by different people.</w:t>
      </w:r>
    </w:p>
    <w:p>
      <w:pPr>
        <w:pStyle w:val="Heading3"/>
      </w:pPr>
      <w:r>
        <w:t>What to watch for</w:t>
      </w:r>
    </w:p>
    <w:p>
      <w:r>
        <w:t>The population is the payment run log, not the list of approved proposals — a run executed without ever going through the approved-proposal list will not appear there, so starting from the approved list will understate what actually happened.</w:t>
      </w:r>
    </w:p>
    <w:p>
      <w:pPr>
        <w:pStyle w:val="Heading3"/>
      </w:pPr>
      <w:r>
        <w:t>Evidence you will need</w:t>
      </w:r>
    </w:p>
    <w:p>
      <w:r>
        <w:t>The payment run list showing proposal creator and run executor side by side, the count of runs where those two names match, and the transmission record count per file from FDTA/DMEE.</w:t>
      </w:r>
    </w:p>
    <w:p>
      <w:pPr>
        <w:pStyle w:val="Heading3"/>
      </w:pPr>
      <w:r>
        <w:t>Execution steps (as they appear in the app)</w:t>
      </w:r>
    </w:p>
    <w:p>
      <w:r>
        <w:rPr>
          <w:b/>
        </w:rPr>
        <w:t xml:space="preserve">F110 (SAP GUI): </w:t>
      </w:r>
      <w:r>
        <w:t>Open the payment run screen for your period. Touch nothing that executes — this screen moves money. [Navigation: type F110 in the command field, open Edit → Proposal → Proposal list or the payment run log, and set your period.]</w:t>
      </w:r>
    </w:p>
    <w:p>
      <w:r>
        <w:rPr>
          <w:b/>
        </w:rPr>
        <w:t xml:space="preserve">F110 log (SAP GUI): </w:t>
      </w:r>
      <w:r>
        <w:t>Record four things per run: run date/ID, who created the proposal, who released it, and the total value. Compare creator and releaser — a match is a segregation-of-duties failure on the company's largest single money movement.</w:t>
      </w:r>
    </w:p>
    <w:p>
      <w:r>
        <w:rPr>
          <w:b/>
        </w:rPr>
        <w:t xml:space="preserve">SE16N (SAP GUI): </w:t>
      </w:r>
      <w:r>
        <w:t>Display tables REGUH (payment run header) and REGUP (line items) to get the population independent of the F110 screen. [Navigation: type SE16N, enter REGUH or REGUP, set your date range, execute.]</w:t>
      </w:r>
    </w:p>
    <w:p>
      <w:r>
        <w:rPr>
          <w:b/>
        </w:rPr>
        <w:t xml:space="preserve">FDTA / DMEE (SAP GUI): </w:t>
      </w:r>
      <w:r>
        <w:t>Check how many transmission records each payment file has — one is correct, more than one means the file was sent twice. [Navigation: type FDTA in the command field, or review the DMEE tree for the relevant payment medium format.]</w:t>
      </w:r>
    </w:p>
    <w:p>
      <w:r>
        <w:rPr>
          <w:b/>
        </w:rPr>
        <w:t xml:space="preserve">SM37 (SAP GUI): </w:t>
      </w:r>
      <w:r>
        <w:t>Check the transmission job log — a re-run is visible here as a second execution of the same job. [Navigation: type SM37, enter the job name and date range, execute.]</w:t>
      </w:r>
    </w:p>
    <w:p>
      <w:r>
        <w:br w:type="page"/>
      </w:r>
    </w:p>
    <w:p>
      <w:pPr>
        <w:pStyle w:val="Heading1"/>
      </w:pPr>
      <w:r>
        <w:rPr>
          <w:color w:val="1B2A41"/>
        </w:rPr>
        <w:t>Before Day 13</w:t>
      </w:r>
    </w:p>
    <w:p>
      <w:r>
        <w:rPr>
          <w:i/>
        </w:rPr>
        <w:t>Part VII — Business Application Controls</w:t>
      </w:r>
    </w:p>
    <w:p>
      <w:pPr>
        <w:pStyle w:val="Heading2"/>
      </w:pPr>
      <w:r>
        <w:t>BOOK 26 — THE BANK DETAIL NOBODY APPROVED</w:t>
      </w:r>
    </w:p>
    <w:p>
      <w:r>
        <w:rPr>
          <w:b/>
        </w:rPr>
        <w:t>Scope area: Vendor Bank Detail Change Testing</w:t>
      </w:r>
    </w:p>
    <w:p>
      <w:r>
        <w:t>Confirm that changes to a vendor's bank details are independently approved before the next payment, for every company code — not just the ones covered when workflow was first configured.</w:t>
      </w:r>
    </w:p>
    <w:p>
      <w:pPr>
        <w:pStyle w:val="Heading3"/>
      </w:pPr>
      <w:r>
        <w:t>What to watch for</w:t>
      </w:r>
    </w:p>
    <w:p>
      <w:r>
        <w:t>This needs no privileged access, only the ability to edit a master record — and the population must come from the change documents, not the workflow log, since a change that never routed for approval will not appear in the log at all.</w:t>
      </w:r>
    </w:p>
    <w:p>
      <w:pPr>
        <w:pStyle w:val="Heading3"/>
      </w:pPr>
      <w:r>
        <w:t>Evidence you will need</w:t>
      </w:r>
    </w:p>
    <w:p>
      <w:r>
        <w:t>The CDPOS extract of bank-field changes with old/new values, the corresponding workflow approval status for each, and the day-count from each change to the next payment to that vendor.</w:t>
      </w:r>
    </w:p>
    <w:p>
      <w:pPr>
        <w:pStyle w:val="Heading3"/>
      </w:pPr>
      <w:r>
        <w:t>Execution steps (as they appear in the app)</w:t>
      </w:r>
    </w:p>
    <w:p>
      <w:r>
        <w:rPr>
          <w:b/>
        </w:rPr>
        <w:t xml:space="preserve">SE16N (SAP GUI): </w:t>
      </w:r>
      <w:r>
        <w:t>Display table CDHDR for the vendor/business partner object class over your date range — this tells you a change happened, not what changed. [Navigation: type SE16N, enter CDHDR, set your date range, execute.]</w:t>
      </w:r>
    </w:p>
    <w:p>
      <w:r>
        <w:rPr>
          <w:b/>
        </w:rPr>
        <w:t xml:space="preserve">SE16N (SAP GUI): </w:t>
      </w:r>
      <w:r>
        <w:t>Display table CDPOS for field-level detail. Filter on bank-related field names and record field, old value, new value, user, and date/time. [Navigation: type SE16N, enter CDPOS, filter on the bank fields, execute.]</w:t>
      </w:r>
    </w:p>
    <w:p>
      <w:r>
        <w:rPr>
          <w:b/>
        </w:rPr>
        <w:t xml:space="preserve">FK04 / BP (SAP GUI): </w:t>
      </w:r>
      <w:r>
        <w:t>Cross-check one vendor via change display as a readable confirmation of the CDPOS extract. [Navigation: type FK04 or BP, enter the vendor, open change display.]</w:t>
      </w:r>
    </w:p>
    <w:p>
      <w:r>
        <w:rPr>
          <w:b/>
        </w:rPr>
        <w:t xml:space="preserve">SWI1 (SAP GUI): </w:t>
      </w:r>
      <w:r>
        <w:t>Check the workflow log for each change — confirm an approval exists and that the approver is not the requester. [Navigation: type SWI1, filter by object type and date, review the approval trail.]</w:t>
      </w:r>
    </w:p>
    <w:p>
      <w:r>
        <w:rPr>
          <w:b/>
        </w:rPr>
        <w:t xml:space="preserve">REGUP (SAP GUI): </w:t>
      </w:r>
      <w:r>
        <w:t>For each bank-detail change, find the next payment to that vendor and measure the gap in days. [Navigation: via SE16N table REGUP, filter by vendor and date after the change date.]</w:t>
      </w:r>
    </w:p>
    <w:p>
      <w:pPr>
        <w:pStyle w:val="Heading2"/>
      </w:pPr>
      <w:r>
        <w:t>BOOK 27 — THE TOLERANCE THAT SWALLOWED IT</w:t>
      </w:r>
    </w:p>
    <w:p>
      <w:r>
        <w:rPr>
          <w:b/>
        </w:rPr>
        <w:t>Scope area: Invoice Price Tolerance Testing</w:t>
      </w:r>
    </w:p>
    <w:p>
      <w:r>
        <w:t>Test whether the invoice price tolerance — both percentage and absolute limits — is still appropriate, and confirm it has not been quietly absorbing variances that should have been blocked.</w:t>
      </w:r>
    </w:p>
    <w:p>
      <w:pPr>
        <w:pStyle w:val="Heading3"/>
      </w:pPr>
      <w:r>
        <w:t>What to watch for</w:t>
      </w:r>
    </w:p>
    <w:p>
      <w:r>
        <w:t>A tolerance set wide enough will produce zero blocked invoices by construction — an empty blocked-invoice list is not evidence the control works, it is the reason you need to test the configuration itself.</w:t>
      </w:r>
    </w:p>
    <w:p>
      <w:pPr>
        <w:pStyle w:val="Heading3"/>
      </w:pPr>
      <w:r>
        <w:t>Evidence you will need</w:t>
      </w:r>
    </w:p>
    <w:p>
      <w:r>
        <w:t>The OMR6 configuration screenshot (percentage and absolute limits, with change history or a note that none exists), and a variance list sorted by absolute value showing the concentration of invoices sitting just under the absolute limit.</w:t>
      </w:r>
    </w:p>
    <w:p>
      <w:pPr>
        <w:pStyle w:val="Heading3"/>
      </w:pPr>
      <w:r>
        <w:t>Execution steps (as they appear in the app)</w:t>
      </w:r>
    </w:p>
    <w:p>
      <w:r>
        <w:rPr>
          <w:b/>
        </w:rPr>
        <w:t xml:space="preserve">OMR6 (SAP GUI): </w:t>
      </w:r>
      <w:r>
        <w:t>Display tolerance limits for invoice verification. Record the tolerance keys, company codes, and both the percentage and absolute columns, plus change history. [Navigation: type OMR6 in the command field, review the tolerance key table, note the change history if available.]</w:t>
      </w:r>
    </w:p>
    <w:p>
      <w:r>
        <w:rPr>
          <w:b/>
        </w:rPr>
        <w:t xml:space="preserve">SE16N (SAP GUI): </w:t>
      </w:r>
      <w:r>
        <w:t>Display table RSEG for your period. Compare invoice value against PO value per line and calculate the variance. [Navigation: type SE16N, enter RSEG, set your date range, execute.]</w:t>
      </w:r>
    </w:p>
    <w:p>
      <w:r>
        <w:rPr>
          <w:b/>
        </w:rPr>
        <w:t xml:space="preserve">Variance sort (Excel / SAP GUI export): </w:t>
      </w:r>
      <w:r>
        <w:t>Sort the variance list by percentage first, then re-sort by absolute value — look for a cluster sitting just under the absolute limit. Count and total them, and check whether the same vendors recur.</w:t>
      </w:r>
    </w:p>
    <w:p>
      <w:r>
        <w:rPr>
          <w:b/>
        </w:rPr>
        <w:t xml:space="preserve">MRBR (SAP GUI): </w:t>
      </w:r>
      <w:r>
        <w:t>Display the blocked invoice list. Do not release anything — this confirms only what the control actually caught. [Navigation: type MRBR in the command field, set your selection criteria, execute in display mode.]</w:t>
      </w:r>
    </w:p>
    <w:p>
      <w:r>
        <w:br w:type="page"/>
      </w:r>
    </w:p>
    <w:p>
      <w:pPr>
        <w:pStyle w:val="Heading1"/>
      </w:pPr>
      <w:r>
        <w:rPr>
          <w:color w:val="1B2A41"/>
        </w:rPr>
        <w:t>Before Day 14</w:t>
      </w:r>
    </w:p>
    <w:p>
      <w:r>
        <w:rPr>
          <w:i/>
        </w:rPr>
        <w:t>Part VII — Business Application Controls</w:t>
      </w:r>
    </w:p>
    <w:p>
      <w:pPr>
        <w:pStyle w:val="Heading2"/>
      </w:pPr>
      <w:r>
        <w:t>BOOK 23 — THE JOB THAT STOPPED RUNNING</w:t>
      </w:r>
    </w:p>
    <w:p>
      <w:r>
        <w:rPr>
          <w:b/>
        </w:rPr>
        <w:t>Scope area: Batch Job Monitoring Testing</w:t>
      </w:r>
    </w:p>
    <w:p>
      <w:r>
        <w:t>Confirm that scheduled batch jobs are actually monitored for failure — not just the backup job — by testing execution history against the expected schedule.</w:t>
      </w:r>
    </w:p>
    <w:p>
      <w:pPr>
        <w:pStyle w:val="Heading3"/>
      </w:pPr>
      <w:r>
        <w:t>What to watch for</w:t>
      </w:r>
    </w:p>
    <w:p>
      <w:r>
        <w:t>Leaving Cancelled unticked in SM37 will show zero failures — confidently and wrongly. And "finished" is not the same as "worked": a job that completed having processed zero records still shows as finished.</w:t>
      </w:r>
    </w:p>
    <w:p>
      <w:pPr>
        <w:pStyle w:val="Heading3"/>
      </w:pPr>
      <w:r>
        <w:t>Evidence you will need</w:t>
      </w:r>
    </w:p>
    <w:p>
      <w:r>
        <w:t>The documented expected execution count written down before running SM37, the SM37 selection screen and result with Cancelled included, one job log and step list, and a schedule-versus-actual comparison showing any missing dates.</w:t>
      </w:r>
    </w:p>
    <w:p>
      <w:pPr>
        <w:pStyle w:val="Heading3"/>
      </w:pPr>
      <w:r>
        <w:t>Execution steps (as they appear in the app)</w:t>
      </w:r>
    </w:p>
    <w:p>
      <w:r>
        <w:rPr>
          <w:b/>
        </w:rPr>
        <w:t xml:space="preserve">SM37 (SAP GUI): </w:t>
      </w:r>
      <w:r>
        <w:t>Run with job name and user both set to wildcard for your date range, with every status box ticked including Cancelled. [Navigation: type SM37 in the command field, set Job name = *, User name = *, set your date range, tick all status checkboxes, execute.]</w:t>
      </w:r>
    </w:p>
    <w:p>
      <w:r>
        <w:rPr>
          <w:b/>
        </w:rPr>
        <w:t xml:space="preserve">SM37 log (SAP GUI): </w:t>
      </w:r>
      <w:r>
        <w:t>Sort the result by status and record the count of cancelled jobs. Open one cancelled job's log to read the failure reason, then open its Step detail to see the program it runs.</w:t>
      </w:r>
    </w:p>
    <w:p>
      <w:r>
        <w:rPr>
          <w:b/>
        </w:rPr>
        <w:t xml:space="preserve">SM36 (SAP GUI): </w:t>
      </w:r>
      <w:r>
        <w:t>Display the job definition to confirm expected scheduling frequency, and compare against what actually appeared in SM37 — a job never released produces no row at all. [Navigation: type SM36 in the command field, locate the job definition.]</w:t>
      </w:r>
    </w:p>
    <w:p>
      <w:pPr>
        <w:pStyle w:val="Heading2"/>
      </w:pPr>
      <w:r>
        <w:t>BOOK 28 — THE DEPRECIATION THAT KEPT RUNNING</w:t>
      </w:r>
    </w:p>
    <w:p>
      <w:r>
        <w:rPr>
          <w:b/>
        </w:rPr>
        <w:t>Scope area: Fixed Asset Depreciation Parameter Testing</w:t>
      </w:r>
    </w:p>
    <w:p>
      <w:r>
        <w:t>Confirm that depreciation is running on the correct parameters — not just running successfully — for assets that transferred in through an acquisition.</w:t>
      </w:r>
    </w:p>
    <w:p>
      <w:pPr>
        <w:pStyle w:val="Heading3"/>
      </w:pPr>
      <w:r>
        <w:t>What to watch for</w:t>
      </w:r>
    </w:p>
    <w:p>
      <w:r>
        <w:t>Successful execution and correct calculation are two different assertions — a depreciation run can complete every month with no errors while running on parameters that do not match your accounting policy at all, and nothing in the system will flag that a value, rather than a flag, is wrong.</w:t>
      </w:r>
    </w:p>
    <w:p>
      <w:pPr>
        <w:pStyle w:val="Heading3"/>
      </w:pPr>
      <w:r>
        <w:t>Evidence you will need</w:t>
      </w:r>
    </w:p>
    <w:p>
      <w:r>
        <w:t>The depreciation run log confirming complete execution for every period, the ANLB extract grouped by depreciation key with any inherited or mismatched keys flagged, and one AW01N Asset Explorer screenshot.</w:t>
      </w:r>
    </w:p>
    <w:p>
      <w:pPr>
        <w:pStyle w:val="Heading3"/>
      </w:pPr>
      <w:r>
        <w:t>Execution steps (as they appear in the app)</w:t>
      </w:r>
    </w:p>
    <w:p>
      <w:r>
        <w:rPr>
          <w:b/>
        </w:rPr>
        <w:t xml:space="preserve">AFBP (SAP GUI): </w:t>
      </w:r>
      <w:r>
        <w:t>Check the depreciation run log for your company code and confirm every period shows a completed run. [Navigation: type AFBP in the command field, set company code and period range.]</w:t>
      </w:r>
    </w:p>
    <w:p>
      <w:r>
        <w:rPr>
          <w:b/>
        </w:rPr>
        <w:t xml:space="preserve">AW01N (SAP GUI): </w:t>
      </w:r>
      <w:r>
        <w:t>Display only — record depreciation key, useful life, depreciation start date, and asset class for a sample asset. [Navigation: type AW01N, enter the asset number.]</w:t>
      </w:r>
    </w:p>
    <w:p>
      <w:r>
        <w:rPr>
          <w:b/>
        </w:rPr>
        <w:t xml:space="preserve">SE16N (SAP GUI): </w:t>
      </w:r>
      <w:r>
        <w:t>Display table ANLB for the company code and fiscal year. Group by depreciation key and count usage. [Navigation: type SE16N, enter ANLB, set company code/fiscal year, execute.]</w:t>
      </w:r>
    </w:p>
    <w:p>
      <w:r>
        <w:rPr>
          <w:b/>
        </w:rPr>
        <w:t xml:space="preserve">AFAMA (SAP GUI): </w:t>
      </w:r>
      <w:r>
        <w:t>Display the calculation method behind any unfamiliar depreciation key found in ANLB. [Navigation: type AFAMA in the command field, enter the depreciation key.]</w:t>
      </w:r>
    </w:p>
    <w:p>
      <w:r>
        <w:rPr>
          <w:b/>
        </w:rPr>
        <w:t xml:space="preserve">SE16N (SAP GUI): </w:t>
      </w:r>
      <w:r>
        <w:t>Display table ANLA and cross-reference acquisition date/class against the keys found — weight the sample toward acquisitions and transfers. [Navigation: type SE16N, enter ANLA, execute.]</w:t>
      </w:r>
    </w:p>
    <w:p>
      <w:r>
        <w:rPr>
          <w:b/>
        </w:rPr>
        <w:t xml:space="preserve">CDHDR / CDPOS (SAP GUI): </w:t>
      </w:r>
      <w:r>
        <w:t>Confirm whether depreciation parameters were later changed and whether that change was approved, using the same technique as Book 26. [Navigation: type SE16N, enter CDHDR/CDPOS for the asset object class.]</w:t>
      </w:r>
    </w:p>
    <w:p>
      <w:r>
        <w:br w:type="page"/>
      </w:r>
    </w:p>
    <w:p>
      <w:pPr>
        <w:pStyle w:val="Heading1"/>
      </w:pPr>
      <w:r>
        <w:rPr>
          <w:color w:val="1B2A41"/>
        </w:rPr>
        <w:t>Before Day 15</w:t>
      </w:r>
    </w:p>
    <w:p>
      <w:r>
        <w:rPr>
          <w:i/>
        </w:rPr>
        <w:t>Part VIII — Order-to-Cash Controls</w:t>
      </w:r>
    </w:p>
    <w:p>
      <w:pPr>
        <w:pStyle w:val="Heading2"/>
      </w:pPr>
      <w:r>
        <w:t>BOOK 29 — THE HELD ORDER</w:t>
      </w:r>
    </w:p>
    <w:p>
      <w:r>
        <w:rPr>
          <w:b/>
        </w:rPr>
        <w:t>Scope area: Credit Management &amp; Billing-Block Release Testing</w:t>
      </w:r>
    </w:p>
    <w:p>
      <w:r>
        <w:t>Confirm that sales orders blocked for exceeding a customer's credit limit are released only by someone independent of the order's creator, with documented justification on file — not routinely overridden to keep revenue moving.</w:t>
      </w:r>
    </w:p>
    <w:p>
      <w:pPr>
        <w:pStyle w:val="Heading3"/>
      </w:pPr>
      <w:r>
        <w:t>What to watch for</w:t>
      </w:r>
    </w:p>
    <w:p>
      <w:r>
        <w:t>A credit block that gets released the same day, every time, by the same person who wrote the order, is not a working control — it's a formality the order has to walk through on its way to happening anyway. Don't stop at confirming the block existed; confirm who broke it, how fast, and on what authority.</w:t>
      </w:r>
    </w:p>
    <w:p>
      <w:pPr>
        <w:pStyle w:val="Heading3"/>
      </w:pPr>
      <w:r>
        <w:t>Evidence you will need</w:t>
      </w:r>
    </w:p>
    <w:p>
      <w:r>
        <w:t>The VBUK-based population of credit-blocked orders, the release history and releaser identity per order, the creator-vs-releaser comparison, and a credit-master screenshot for any order where the limit itself may have moved just ahead of the block.</w:t>
      </w:r>
    </w:p>
    <w:p>
      <w:pPr>
        <w:pStyle w:val="Heading3"/>
      </w:pPr>
      <w:r>
        <w:t>Execution steps (as they appear in the app)</w:t>
      </w:r>
    </w:p>
    <w:p>
      <w:r>
        <w:rPr>
          <w:b/>
        </w:rPr>
        <w:t xml:space="preserve">VKM4 (SAP GUI): </w:t>
      </w:r>
      <w:r>
        <w:t>Type VKM4 into the transaction code field at the top-left of the SAP GUI screen and press Enter. Work through the blocked-document worklist and open each document's release history. [Navigation: from the SAP Easy Access menu or command field, enter VKM4, set your date range on the selection screen, and press F8. Double-click a document to see its release status and history.]</w:t>
      </w:r>
    </w:p>
    <w:p>
      <w:r>
        <w:rPr>
          <w:b/>
        </w:rPr>
        <w:t xml:space="preserve">SE16N (SAP GUI): </w:t>
      </w:r>
      <w:r>
        <w:t>Display table VBUK directly to pull your own population rather than relying on VKM4's default worklist filters. [Navigation: type SE16N, enter VBUK, filter on CMGST (credit status) and your date range, execute.]</w:t>
      </w:r>
    </w:p>
    <w:p>
      <w:r>
        <w:rPr>
          <w:b/>
        </w:rPr>
        <w:t xml:space="preserve">VA02 / VA03 (SAP GUI): </w:t>
      </w:r>
      <w:r>
        <w:t>Display the sales order to confirm who created it. [Navigation: type VA03 (display) in the command field, enter the sales order number, press Enter; check the document header's Created By field.]</w:t>
      </w:r>
    </w:p>
    <w:p>
      <w:r>
        <w:rPr>
          <w:b/>
        </w:rPr>
        <w:t xml:space="preserve">FD33 / BP (SAP GUI): </w:t>
      </w:r>
      <w:r>
        <w:t>Display the customer's credit master data — credit limit, control area, and any recent changes to the limit. [Navigation: type FD33 (or BP for the Business Partner view), enter the customer number, and open the credit management/credit limit view.]</w:t>
      </w:r>
    </w:p>
    <w:p>
      <w:r>
        <w:rPr>
          <w:b/>
        </w:rPr>
        <w:t xml:space="preserve">— (—): </w:t>
      </w:r>
      <w:r>
        <w:t>For any release with no documented justification on file, escalate rather than noting it and moving on — a pattern of silent overrides usually means the credit-block control has quietly become theater across more than just the sampled orders.</w:t>
      </w:r>
    </w:p>
    <w:p>
      <w:pPr>
        <w:pStyle w:val="Heading2"/>
      </w:pPr>
      <w:r>
        <w:t>BOOK 30 — THE EARLY INVOICE</w:t>
      </w:r>
    </w:p>
    <w:p>
      <w:r>
        <w:rPr>
          <w:b/>
        </w:rPr>
        <w:t>Scope area: Billing Cutoff &amp; Revenue Recognition Testing</w:t>
      </w:r>
    </w:p>
    <w:p>
      <w:r>
        <w:t>Confirm that invoices are only created after the corresponding goods have actually shipped — not backdated or pushed through early to hit a quarter-end revenue target.</w:t>
      </w:r>
    </w:p>
    <w:p>
      <w:pPr>
        <w:pStyle w:val="Heading3"/>
      </w:pPr>
      <w:r>
        <w:t>What to watch for</w:t>
      </w:r>
    </w:p>
    <w:p>
      <w:r>
        <w:t>Comparing dates alone will miss same-day violations — always pull the actual timestamps, not just the calendar date, when testing cutoff at quarter-end.</w:t>
      </w:r>
    </w:p>
    <w:p>
      <w:pPr>
        <w:pStyle w:val="Heading3"/>
      </w:pPr>
      <w:r>
        <w:t>Evidence you will need</w:t>
      </w:r>
    </w:p>
    <w:p>
      <w:r>
        <w:t>The VBRK/VBRP-based billing population for the cutoff window, the goods-issue timestamp from VL03N for each sampled document, and the calculated gap (or violation) between billing and goods-issue timestamps.</w:t>
      </w:r>
    </w:p>
    <w:p>
      <w:pPr>
        <w:pStyle w:val="Heading3"/>
      </w:pPr>
      <w:r>
        <w:t>Execution steps (as they appear in the app)</w:t>
      </w:r>
    </w:p>
    <w:p>
      <w:r>
        <w:rPr>
          <w:b/>
        </w:rPr>
        <w:t xml:space="preserve">VF04 (SAP GUI): </w:t>
      </w:r>
      <w:r>
        <w:t>Type VF04 into the transaction code field at the top-left of the SAP GUI screen and press Enter. Review the billing due list for the cutoff window as an orientation step, then verify independently via SE16N. [Navigation: type VF04, set the billing date range on the selection screen, execute.]</w:t>
      </w:r>
    </w:p>
    <w:p>
      <w:r>
        <w:rPr>
          <w:b/>
        </w:rPr>
        <w:t xml:space="preserve">SE16N (SAP GUI): </w:t>
      </w:r>
      <w:r>
        <w:t>Display tables VBRK (billing header) and VBRP (billing items) directly to pull your own population for the last days of the period. [Navigation: type SE16N, enter VBRK, filter FKDAT (billing date) to your cutoff window, execute; repeat for VBRP if line-level detail is needed.]</w:t>
      </w:r>
    </w:p>
    <w:p>
      <w:r>
        <w:rPr>
          <w:b/>
        </w:rPr>
        <w:t xml:space="preserve">VL03N (SAP GUI): </w:t>
      </w:r>
      <w:r>
        <w:t>Display the delivery referenced by each sampled billing document and record the actual goods-issue date and time. [Navigation: type VL03N, enter the delivery number, open the header status or document flow to find the goods-issue timestamp.]</w:t>
      </w:r>
    </w:p>
    <w:p>
      <w:r>
        <w:rPr>
          <w:b/>
        </w:rPr>
        <w:t xml:space="preserve">VA03 (SAP GUI): </w:t>
      </w:r>
      <w:r>
        <w:t>Display the originating sales order for context — requested delivery date, customer, and order value. [Navigation: type VA03, enter the sales order number.]</w:t>
      </w:r>
    </w:p>
    <w:p>
      <w:r>
        <w:rPr>
          <w:b/>
        </w:rPr>
        <w:t xml:space="preserve">— (—): </w:t>
      </w:r>
      <w:r>
        <w:t>Any billing document whose creation timestamp precedes its delivery's goods-issue timestamp is a cutoff exception — flag it immediately rather than folding it into a larger sample average.</w:t>
      </w:r>
    </w:p>
    <w:p>
      <w:r>
        <w:br w:type="page"/>
      </w:r>
    </w:p>
    <w:p>
      <w:pPr>
        <w:pStyle w:val="Heading1"/>
      </w:pPr>
      <w:r>
        <w:rPr>
          <w:color w:val="1B2A41"/>
        </w:rPr>
        <w:t>Before Day 16</w:t>
      </w:r>
    </w:p>
    <w:p>
      <w:r>
        <w:rPr>
          <w:i/>
        </w:rPr>
        <w:t>Part IX — Treasury &amp; Tax Controls</w:t>
      </w:r>
    </w:p>
    <w:p>
      <w:pPr>
        <w:pStyle w:val="Heading2"/>
      </w:pPr>
      <w:r>
        <w:t>BOOK 31 — THE UNCLEARED ITEM</w:t>
      </w:r>
    </w:p>
    <w:p>
      <w:r>
        <w:rPr>
          <w:b/>
        </w:rPr>
        <w:t>Scope area: Bank Reconciliation Testing</w:t>
      </w:r>
    </w:p>
    <w:p>
      <w:r>
        <w:t>Confirm that items sitting in the bank clearing account are being investigated and cleared within the policy timeframe, not accumulating as an unmonitored backlog that could mask fraud or error.</w:t>
      </w:r>
    </w:p>
    <w:p>
      <w:pPr>
        <w:pStyle w:val="Heading3"/>
      </w:pPr>
      <w:r>
        <w:t>What to watch for</w:t>
      </w:r>
    </w:p>
    <w:p>
      <w:r>
        <w:t>A bank account excluded from the reconciliation scope produces a clean-looking report by omission, not by being genuinely reconciled — always confirm the population of accounts being tested is complete before trusting an empty exception list.</w:t>
      </w:r>
    </w:p>
    <w:p>
      <w:pPr>
        <w:pStyle w:val="Heading3"/>
      </w:pPr>
      <w:r>
        <w:t>Evidence you will need</w:t>
      </w:r>
    </w:p>
    <w:p>
      <w:r>
        <w:t>The FAGLL03 open-item population for the bank clearing account, the aging calculation, FEBAN processing/investigation notes for the sampled aged items, and the house bank configuration confirming complete account coverage.</w:t>
      </w:r>
    </w:p>
    <w:p>
      <w:pPr>
        <w:pStyle w:val="Heading3"/>
      </w:pPr>
      <w:r>
        <w:t>Execution steps (as they appear in the app)</w:t>
      </w:r>
    </w:p>
    <w:p>
      <w:r>
        <w:rPr>
          <w:b/>
        </w:rPr>
        <w:t xml:space="preserve">FAGLL03 (SAP GUI): </w:t>
      </w:r>
      <w:r>
        <w:t>Type FAGLL03 into the transaction code field at the top-left of the SAP GUI screen and press Enter. Select Open Items and set your key date to period end. [Navigation: enter the bank clearing G/L account, select the Open Items radio button, set the key date, press F8 to execute.]</w:t>
      </w:r>
    </w:p>
    <w:p>
      <w:r>
        <w:rPr>
          <w:b/>
        </w:rPr>
        <w:t xml:space="preserve">FEBAN (SAP GUI): </w:t>
      </w:r>
      <w:r>
        <w:t>Review the electronic bank statement post-processing log for sampled aged items to see why they never auto-matched. [Navigation: type FEBAN, select the relevant statement/date, review items still sitting in the exception worklist.]</w:t>
      </w:r>
    </w:p>
    <w:p>
      <w:r>
        <w:rPr>
          <w:b/>
        </w:rPr>
        <w:t xml:space="preserve">FF67 (SAP GUI): </w:t>
      </w:r>
      <w:r>
        <w:t>Display the manual bank statement entry for a sampled item to review its processing history. [Navigation: type FF67, enter the house bank and statement reference, display the entry.]</w:t>
      </w:r>
    </w:p>
    <w:p>
      <w:r>
        <w:rPr>
          <w:b/>
        </w:rPr>
        <w:t xml:space="preserve">SE16N (SAP GUI): </w:t>
      </w:r>
      <w:r>
        <w:t>Display table BNKA (or the house bank configuration view) to confirm every active bank account is included in the reconciliation scope. [Navigation: type SE16N, enter BNKA, execute, cross-check the account list against Treasury's stated reconciliation scope.]</w:t>
      </w:r>
    </w:p>
    <w:p>
      <w:r>
        <w:rPr>
          <w:b/>
        </w:rPr>
        <w:t xml:space="preserve">— (—): </w:t>
      </w:r>
      <w:r>
        <w:t>Any account active for transactions but absent from the reconciliation population is a scope gap, not a clean result — escalate before concluding the account has no exceptions.</w:t>
      </w:r>
    </w:p>
    <w:p>
      <w:pPr>
        <w:pStyle w:val="Heading2"/>
      </w:pPr>
      <w:r>
        <w:t>BOOK 32 — THE RATE THAT DIDN'T UPDATE</w:t>
      </w:r>
    </w:p>
    <w:p>
      <w:r>
        <w:rPr>
          <w:b/>
        </w:rPr>
        <w:t>Scope area: Tax Configuration Change Testing</w:t>
      </w:r>
    </w:p>
    <w:p>
      <w:r>
        <w:t>Confirm that a change to a tax code's rate was tested, approved, and moved to production on schedule — and quantify what happened to transactions caught in the gap if it wasn't.</w:t>
      </w:r>
    </w:p>
    <w:p>
      <w:pPr>
        <w:pStyle w:val="Heading3"/>
      </w:pPr>
      <w:r>
        <w:t>What to watch for</w:t>
      </w:r>
    </w:p>
    <w:p>
      <w:r>
        <w:t>A tax code showing the correct rate today tells you nothing about what it charged during the window that matters — always confirm the effective date of the current configuration against when it was actually live in production, not when someone claims it was approved.</w:t>
      </w:r>
    </w:p>
    <w:p>
      <w:pPr>
        <w:pStyle w:val="Heading3"/>
      </w:pPr>
      <w:r>
        <w:t>Evidence you will need</w:t>
      </w:r>
    </w:p>
    <w:p>
      <w:r>
        <w:t>The FTXP/T007A configuration screenshot, the transport history for the tax code, the BSET-based recomputation for the sample, and the dollar-impact calculation for transactions caught between the policy-effective date and the actual go-live date.</w:t>
      </w:r>
    </w:p>
    <w:p>
      <w:pPr>
        <w:pStyle w:val="Heading3"/>
      </w:pPr>
      <w:r>
        <w:t>Execution steps (as they appear in the app)</w:t>
      </w:r>
    </w:p>
    <w:p>
      <w:r>
        <w:rPr>
          <w:b/>
        </w:rPr>
        <w:t xml:space="preserve">FTXP (SAP GUI): </w:t>
      </w:r>
      <w:r>
        <w:t>Type FTXP into the transaction code field at the top-left of the SAP GUI screen and press Enter. Display the tax code and record its current rate and effective structure. [Navigation: enter the country and tax code, press Enter, review the percentage rate fields — display mode only.]</w:t>
      </w:r>
    </w:p>
    <w:p>
      <w:r>
        <w:rPr>
          <w:b/>
        </w:rPr>
        <w:t xml:space="preserve">SE16N (SAP GUI): </w:t>
      </w:r>
      <w:r>
        <w:t>Display table T007A/T007S directly to pull the full tax code list and configured rates independently of FTXP's single-code view. [Navigation: type SE16N, enter T007A, execute.]</w:t>
      </w:r>
    </w:p>
    <w:p>
      <w:r>
        <w:rPr>
          <w:b/>
        </w:rPr>
        <w:t xml:space="preserve">SE16N (SAP GUI): </w:t>
      </w:r>
      <w:r>
        <w:t>Display table BSET for the sample period to see the tax rate actually applied on posted documents. [Navigation: type SE16N, enter BSET, filter by tax code and date range, execute.]</w:t>
      </w:r>
    </w:p>
    <w:p>
      <w:r>
        <w:rPr>
          <w:b/>
        </w:rPr>
        <w:t xml:space="preserve">STMS / SE01 (SAP GUI): </w:t>
      </w:r>
      <w:r>
        <w:t>Pull the transport log for the tax code configuration change to establish the exact go-live date and time. [Navigation: type STMS or SE01, search transports referencing the tax code configuration table, note the import date/time to production.]</w:t>
      </w:r>
    </w:p>
    <w:p>
      <w:r>
        <w:rPr>
          <w:b/>
        </w:rPr>
        <w:t xml:space="preserve">— (—): </w:t>
      </w:r>
      <w:r>
        <w:t>For every transaction posted between the policy-effective date and the actual go-live date, calculate the dollar impact of the incorrect rate rather than simply noting the gap existed.</w:t>
      </w:r>
    </w:p>
    <w:p>
      <w:r>
        <w:br w:type="page"/>
      </w:r>
    </w:p>
    <w:p>
      <w:pPr>
        <w:pStyle w:val="Heading1"/>
      </w:pPr>
      <w:r>
        <w:rPr>
          <w:color w:val="1B2A41"/>
        </w:rPr>
        <w:t>Before Day 17</w:t>
      </w:r>
    </w:p>
    <w:p>
      <w:r>
        <w:rPr>
          <w:i/>
        </w:rPr>
        <w:t>Part X — Adjacent Tools &amp; Emerging Practice</w:t>
      </w:r>
    </w:p>
    <w:p>
      <w:pPr>
        <w:pStyle w:val="Heading2"/>
      </w:pPr>
      <w:r>
        <w:t>BOOK 33 — THE OTHER PLATFORM</w:t>
      </w:r>
    </w:p>
    <w:p>
      <w:r>
        <w:rPr>
          <w:b/>
        </w:rPr>
        <w:t>Scope area: Third-Party GRC Tools vs. Native SAP GRC AC</w:t>
      </w:r>
    </w:p>
    <w:p>
      <w:r>
        <w:t>Confirm which platform is authoritative for SoD risk analysis when a client runs both native SAP GRC Access Control and a third-party tool (Fastpath, Pathlock, SailPoint) side by side — and reconcile the difference before trusting either one's exception count.</w:t>
      </w:r>
    </w:p>
    <w:p>
      <w:pPr>
        <w:pStyle w:val="Heading3"/>
      </w:pPr>
      <w:r>
        <w:t>What to watch for</w:t>
      </w:r>
    </w:p>
    <w:p>
      <w:r>
        <w:t>Two tools analyzing "the same" access can legitimately disagree — the failure isn't disagreement, it's not noticing it, or trusting whichever number is smaller without checking why.</w:t>
      </w:r>
    </w:p>
    <w:p>
      <w:pPr>
        <w:pStyle w:val="Heading3"/>
      </w:pPr>
      <w:r>
        <w:t>Evidence you will need</w:t>
      </w:r>
    </w:p>
    <w:p>
      <w:r>
        <w:t>Risk analysis exports from both platforms for the same scope, the ruleset comparison, the SAP user-master cross-check, and a documented rationale for which platform's output the testing conclusion relies on.</w:t>
      </w:r>
    </w:p>
    <w:p>
      <w:pPr>
        <w:pStyle w:val="Heading3"/>
      </w:pPr>
      <w:r>
        <w:t>Execution steps (as they appear in the app)</w:t>
      </w:r>
    </w:p>
    <w:p>
      <w:r>
        <w:rPr>
          <w:b/>
        </w:rPr>
        <w:t xml:space="preserve">GRC Access Risk Analysis (SAP GRC AC): </w:t>
      </w:r>
      <w:r>
        <w:t>Open the Access Risk Analysis app from the Fiori Launchpad or NWBC, set Analysis Type = User Level, and run for the same scope you'll use on the third-party platform. [Navigation: App Finder search "Access Risk Analysis", set filters, execute, export results.]</w:t>
      </w:r>
    </w:p>
    <w:p>
      <w:r>
        <w:rPr>
          <w:b/>
        </w:rPr>
        <w:t xml:space="preserve">Pathlock Access Risk Dashboard (Pathlock Cloud): </w:t>
      </w:r>
      <w:r>
        <w:t>Log into the Pathlock Cloud console (or Fastpath / AuditBoard, depending on the client), open Access Risk Analysis, and run the identical scope/period. [Navigation varies by client tenant — request administrator walkthrough on first use.]</w:t>
      </w:r>
    </w:p>
    <w:p>
      <w:r>
        <w:rPr>
          <w:b/>
        </w:rPr>
        <w:t xml:space="preserve">SE16N (SAP GUI): </w:t>
      </w:r>
      <w:r>
        <w:t>Display table USR02 or AGR_USERS to independently confirm the SAP user population both tools should be analyzing. [Navigation: type SE16N, enter the table, execute.]</w:t>
      </w:r>
    </w:p>
    <w:p>
      <w:r>
        <w:rPr>
          <w:b/>
        </w:rPr>
        <w:t xml:space="preserve">Ruleset Export (Both platforms): </w:t>
      </w:r>
      <w:r>
        <w:t>Request each platform's rule/risk definition export and compare line by line for the risk IDs showing a mismatch. [No SAP GUI navigation — request directly from each platform's administrator.]</w:t>
      </w:r>
    </w:p>
    <w:p>
      <w:r>
        <w:rPr>
          <w:b/>
        </w:rPr>
        <w:t xml:space="preserve">— (—): </w:t>
      </w:r>
      <w:r>
        <w:t>Where a mismatch traces to a stale rule mapping or an out-of-scope application, document the root cause explicitly rather than simply reporting the two numbers side by side.</w:t>
      </w:r>
    </w:p>
    <w:p>
      <w:pPr>
        <w:pStyle w:val="Heading2"/>
      </w:pPr>
      <w:r>
        <w:t>BOOK 34 — THE SPREADSHEET THAT FOUND IT</w:t>
      </w:r>
    </w:p>
    <w:p>
      <w:r>
        <w:rPr>
          <w:b/>
        </w:rPr>
        <w:t>Scope area: Data Analytics for Full-Population Testing</w:t>
      </w:r>
    </w:p>
    <w:p>
      <w:r>
        <w:t>Recognize when a testing population is large enough that manual sampling risks missing a systemic issue, and use basic data-analytics tooling (SQL, Alteryx, Power BI, ACL) to test the full population instead of a small sample.</w:t>
      </w:r>
    </w:p>
    <w:p>
      <w:pPr>
        <w:pStyle w:val="Heading3"/>
      </w:pPr>
      <w:r>
        <w:t>What to watch for</w:t>
      </w:r>
    </w:p>
    <w:p>
      <w:r>
        <w:t>A manual sample of 25 out of tens of thousands will almost never surface a pattern that only exists in aggregate — when population size and a plausible "stay under the radar" behavior both point the same way, that's the signal to run the full population through a query, not stretch the sample size.</w:t>
      </w:r>
    </w:p>
    <w:p>
      <w:pPr>
        <w:pStyle w:val="Heading3"/>
      </w:pPr>
      <w:r>
        <w:t>Evidence you will need</w:t>
      </w:r>
    </w:p>
    <w:p>
      <w:r>
        <w:t>The full-population extract, the query or formula used to calculate variance, the resulting exception list sorted by threshold proximity, and manual validation of a sample of the analytics-identified exceptions directly in SAP.</w:t>
      </w:r>
    </w:p>
    <w:p>
      <w:pPr>
        <w:pStyle w:val="Heading3"/>
      </w:pPr>
      <w:r>
        <w:t>Execution steps (as they appear in the app)</w:t>
      </w:r>
    </w:p>
    <w:p>
      <w:r>
        <w:rPr>
          <w:b/>
        </w:rPr>
        <w:t xml:space="preserve">SE16N (SAP GUI): </w:t>
      </w:r>
      <w:r>
        <w:t>Display table RSEG for the full test period and export the complete result set — not a pre-filtered subset. [Navigation: type SE16N, enter RSEG, set the date range, execute, then export via the results toolbar.]</w:t>
      </w:r>
    </w:p>
    <w:p>
      <w:r>
        <w:rPr>
          <w:b/>
        </w:rPr>
        <w:t xml:space="preserve">SQL / Alteryx (SQL or Alteryx): </w:t>
      </w:r>
      <w:r>
        <w:t>Load the exported population and calculate variance-to-absolute-limit for every row in a single pass. [No SAP navigation — this step runs outside SAP GUI, in your analytics tool of choice.]</w:t>
      </w:r>
    </w:p>
    <w:p>
      <w:r>
        <w:rPr>
          <w:b/>
        </w:rPr>
        <w:t xml:space="preserve">Power BI / Excel (Power BI or Excel): </w:t>
      </w:r>
      <w:r>
        <w:t>Build a pivot table or dashboard grouping the full-population result by vendor and sorting by proximity to the tolerance limit. [No SAP navigation — this step runs outside SAP GUI.]</w:t>
      </w:r>
    </w:p>
    <w:p>
      <w:r>
        <w:rPr>
          <w:b/>
        </w:rPr>
        <w:t xml:space="preserve">FB03 / SE16N (SAP GUI): </w:t>
      </w:r>
      <w:r>
        <w:t>Manually validate a sample of the analytics-identified exceptions directly in SAP before relying on the tool's output. [Navigation: type FB03 or SE16N, pull the specific document identified by the analytics output, confirm it matches.]</w:t>
      </w:r>
    </w:p>
    <w:p>
      <w:r>
        <w:rPr>
          <w:b/>
        </w:rPr>
        <w:t xml:space="preserve">— (—): </w:t>
      </w:r>
      <w:r>
        <w:t>If the full-population query surfaces vendors or patterns the original manual sample missed entirely, document that gap explicitly — it says something about the sampling approach, not just about the vendors.</w:t>
      </w:r>
    </w:p>
    <w:p>
      <w:r>
        <w:br w:type="page"/>
      </w:r>
    </w:p>
    <w:p>
      <w:pPr>
        <w:pStyle w:val="Heading1"/>
      </w:pPr>
      <w:r>
        <w:rPr>
          <w:color w:val="1B2A41"/>
        </w:rPr>
        <w:t>Before Day 18</w:t>
      </w:r>
    </w:p>
    <w:p>
      <w:r>
        <w:rPr>
          <w:i/>
        </w:rPr>
        <w:t>Part X — Adjacent Tools &amp; Emerging Practice · Part XI — Manager Track Elective — From Finding to Closure</w:t>
      </w:r>
    </w:p>
    <w:p>
      <w:pPr>
        <w:pStyle w:val="Heading2"/>
      </w:pPr>
      <w:r>
        <w:t>BOOK 35 — THE RECOMMENDATION NOBODY CHECKED</w:t>
      </w:r>
    </w:p>
    <w:p>
      <w:r>
        <w:rPr>
          <w:b/>
        </w:rPr>
        <w:t>Scope area: GRC 2026 / Joule-Assisted Review &amp; Continuous Controls Monitoring Awareness</w:t>
      </w:r>
    </w:p>
    <w:p>
      <w:r>
        <w:t>Confirm that access-request approvers are still exercising independent judgment when SAP GRC 2026's Joule-assisted recommendations sit next to every request — not simply clicking whatever the AI suggests.</w:t>
      </w:r>
    </w:p>
    <w:p>
      <w:pPr>
        <w:pStyle w:val="Heading3"/>
      </w:pPr>
      <w:r>
        <w:t>What to watch for</w:t>
      </w:r>
    </w:p>
    <w:p>
      <w:r>
        <w:t>A high AI-agreement rate looks efficient and reads terribly in a workpaper — it's exactly the pattern that should trigger closer testing, not less, since it's indistinguishable from an approver who stopped reading the request and started reading the recommendation instead.</w:t>
      </w:r>
    </w:p>
    <w:p>
      <w:pPr>
        <w:pStyle w:val="Heading3"/>
      </w:pPr>
      <w:r>
        <w:t>Evidence you will need</w:t>
      </w:r>
    </w:p>
    <w:p>
      <w:r>
        <w:t>The approval decision log paired with each Joule recommendation, the match-rate and elapsed-time calculations, and the CCM rule-change approval trail for AI-generated or AI-modified rules.</w:t>
      </w:r>
    </w:p>
    <w:p>
      <w:pPr>
        <w:pStyle w:val="Heading3"/>
      </w:pPr>
      <w:r>
        <w:t>Execution steps (as they appear in the app)</w:t>
      </w:r>
    </w:p>
    <w:p>
      <w:r>
        <w:rPr>
          <w:b/>
        </w:rPr>
        <w:t xml:space="preserve">Access Request Approval (GRC Access Control (GRC 2026)): </w:t>
      </w:r>
      <w:r>
        <w:t>Open the Access Request Approval app and review a live pending request to see how the Joule recommendation is displayed alongside it. [Navigation: Fiori Launchpad, App Finder search "Access Request Approval".]</w:t>
      </w:r>
    </w:p>
    <w:p>
      <w:r>
        <w:rPr>
          <w:b/>
        </w:rPr>
        <w:t xml:space="preserve">Approval Decision Log (GRC Access Control (GRC 2026)): </w:t>
      </w:r>
      <w:r>
        <w:t>Export the full decision log for the test period, including the AI recommendation field. [Navigation: from the approval app's history view, use the export/download option.]</w:t>
      </w:r>
    </w:p>
    <w:p>
      <w:r>
        <w:rPr>
          <w:b/>
        </w:rPr>
        <w:t xml:space="preserve">Timestamp Log (GRC 2026 / SAP GUI): </w:t>
      </w:r>
      <w:r>
        <w:t>Pull the elapsed time between request-opened and decision-made for each sampled approval. [Navigation: typically available in the same decision log export, or via SWI1 workflow timestamps if routed through classic workflow.]</w:t>
      </w:r>
    </w:p>
    <w:p>
      <w:r>
        <w:rPr>
          <w:b/>
        </w:rPr>
        <w:t xml:space="preserve">CCM Rule Configuration (GRC Process Control (GRC 2026)): </w:t>
      </w:r>
      <w:r>
        <w:t>Review the change history for any CCM rule Joule generated or modified during the period. [Navigation: open the rule configuration app, select the rule, view its change/version history.]</w:t>
      </w:r>
    </w:p>
    <w:p>
      <w:r>
        <w:rPr>
          <w:b/>
        </w:rPr>
        <w:t xml:space="preserve">— (—): </w:t>
      </w:r>
      <w:r>
        <w:t>Treat a near-100% AI-agreement rate as a testing trigger, not a clean result — dig into elapsed time and a sample of the matched decisions before concluding the control operates effectively.</w:t>
      </w:r>
    </w:p>
    <w:p>
      <w:pPr>
        <w:pStyle w:val="Heading2"/>
      </w:pPr>
      <w:r>
        <w:t>BOOK 36 — THE MAP BEFORE THE TESTING</w:t>
      </w:r>
    </w:p>
    <w:p>
      <w:r>
        <w:rPr>
          <w:b/>
        </w:rPr>
        <w:t>Scope area: RCM (Risk &amp; Control Matrix) Construction</w:t>
      </w:r>
    </w:p>
    <w:p>
      <w:r>
        <w:t>As engagement manager, translate a walkthrough of the Procure-to-Pay and Record-to-Report cycles into a structured Risk &amp; Control Matrix (RCM) — the document that will define which controls get tested, by whom, and how — before any fieldwork begins.</w:t>
      </w:r>
    </w:p>
    <w:p>
      <w:pPr>
        <w:pStyle w:val="Heading3"/>
      </w:pPr>
      <w:r>
        <w:t>What to watch for</w:t>
      </w:r>
    </w:p>
    <w:p>
      <w:r>
        <w:t>An RCM built entirely from policy documents and never validated against actual system configuration will send testers out to test a control that doesn't operate the way the matrix says it does — as this course's own fieldwork has repeatedly shown.</w:t>
      </w:r>
    </w:p>
    <w:p>
      <w:pPr>
        <w:pStyle w:val="Heading3"/>
      </w:pPr>
      <w:r>
        <w:t>Evidence you will need</w:t>
      </w:r>
    </w:p>
    <w:p>
      <w:r>
        <w:t>Walkthrough notes per control owner, the configuration confirmation for each automated control referenced, the completed RCM with all attributes populated, and control-owner sign-off on the draft RCM.</w:t>
      </w:r>
    </w:p>
    <w:p>
      <w:pPr>
        <w:pStyle w:val="Heading3"/>
      </w:pPr>
      <w:r>
        <w:t>Execution steps (as they appear in the app)</w:t>
      </w:r>
    </w:p>
    <w:p>
      <w:r>
        <w:rPr>
          <w:b/>
        </w:rPr>
        <w:t xml:space="preserve">Process Walkthrough (Control Owner Interview): </w:t>
      </w:r>
      <w:r>
        <w:t>Conduct a structured interview with each control owner, documenting the control exactly as they describe performing it. [No SAP navigation — this is an interview and documentation step.]</w:t>
      </w:r>
    </w:p>
    <w:p>
      <w:r>
        <w:rPr>
          <w:b/>
        </w:rPr>
        <w:t xml:space="preserve">SPRO / OMR6 (SAP GUI (display only)): </w:t>
      </w:r>
      <w:r>
        <w:t>Independently confirm the configuration behind any automated control mentioned in the walkthrough. [Navigation: type the relevant transaction (e.g., OMR6, SPRO) in display mode, record the configured values.]</w:t>
      </w:r>
    </w:p>
    <w:p>
      <w:r>
        <w:rPr>
          <w:b/>
        </w:rPr>
        <w:t xml:space="preserve">GRC Process Control Repository (GRC Process Control): </w:t>
      </w:r>
      <w:r>
        <w:t>Search the control repository for a prior-cycle version of the control and compare attributes. [Navigation: open the control repository app, search by process area or control name.]</w:t>
      </w:r>
    </w:p>
    <w:p>
      <w:r>
        <w:rPr>
          <w:b/>
        </w:rPr>
        <w:t xml:space="preserve">RCM Template (Manager Workpaper): </w:t>
      </w:r>
      <w:r>
        <w:t>Populate the RCM with each control's full attribute set and testing approach. [No SAP navigation — this is a workpaper-construction step.]</w:t>
      </w:r>
    </w:p>
    <w:p>
      <w:r>
        <w:rPr>
          <w:b/>
        </w:rPr>
        <w:t xml:space="preserve">— (—): </w:t>
      </w:r>
      <w:r>
        <w:t>Circulate the draft RCM for control-owner sign-off before scheduling any fieldwork against it.</w:t>
      </w:r>
    </w:p>
    <w:p>
      <w:r>
        <w:br w:type="page"/>
      </w:r>
    </w:p>
    <w:p>
      <w:pPr>
        <w:pStyle w:val="Heading1"/>
      </w:pPr>
      <w:r>
        <w:rPr>
          <w:color w:val="1B2A41"/>
        </w:rPr>
        <w:t>Before Day 19</w:t>
      </w:r>
    </w:p>
    <w:p>
      <w:r>
        <w:rPr>
          <w:i/>
        </w:rPr>
        <w:t>Part XI — Manager Track Elective — From Finding to Closure</w:t>
      </w:r>
    </w:p>
    <w:p>
      <w:pPr>
        <w:pStyle w:val="Heading2"/>
      </w:pPr>
      <w:r>
        <w:t>BOOK 37 — THE CONTROL THAT WAS NEVER BUILT TO HOLD</w:t>
      </w:r>
    </w:p>
    <w:p>
      <w:r>
        <w:rPr>
          <w:b/>
        </w:rPr>
        <w:t>Scope area: Design Effectiveness Testing</w:t>
      </w:r>
    </w:p>
    <w:p>
      <w:r>
        <w:t>Confirm that a control as designed — not yet as operated — is actually capable of preventing or detecting the risk it is assigned to in the RCM, before spending fieldwork hours testing whether it operated.</w:t>
      </w:r>
    </w:p>
    <w:p>
      <w:pPr>
        <w:pStyle w:val="Heading3"/>
      </w:pPr>
      <w:r>
        <w:t>What to watch for</w:t>
      </w:r>
    </w:p>
    <w:p>
      <w:r>
        <w:t>Running a full operating-effectiveness sample before confirming design effectiveness can waste an entire testing cycle proving, one instance at a time, something a five-minute role-design review would have shown for the whole population at once.</w:t>
      </w:r>
    </w:p>
    <w:p>
      <w:pPr>
        <w:pStyle w:val="Heading3"/>
      </w:pPr>
      <w:r>
        <w:t>Evidence you will need</w:t>
      </w:r>
    </w:p>
    <w:p>
      <w:r>
        <w:t>The RCM's stated control objective, the PFCG role-design review, a RACI-style mapping of who can perform each function, and the design-effectiveness conclusion memo distinguishing design from operating deficiency.</w:t>
      </w:r>
    </w:p>
    <w:p>
      <w:pPr>
        <w:pStyle w:val="Heading3"/>
      </w:pPr>
      <w:r>
        <w:t>Execution steps (as they appear in the app)</w:t>
      </w:r>
    </w:p>
    <w:p>
      <w:r>
        <w:rPr>
          <w:b/>
        </w:rPr>
        <w:t xml:space="preserve">RCM Cross-Reference (Manager Workpaper): </w:t>
      </w:r>
      <w:r>
        <w:t>Pull the control's stated objective from the RCM built in Book 36 and restate it as a testable design question.</w:t>
      </w:r>
    </w:p>
    <w:p>
      <w:r>
        <w:rPr>
          <w:b/>
        </w:rPr>
        <w:t xml:space="preserve">PFCG (SAP GUI (display)): </w:t>
      </w:r>
      <w:r>
        <w:t>Display the standard role(s) associated with the control's process and review whether both functions' authorization objects sit in the same role. [Navigation: type PFCG, enter the role name, display mode only, review the Authorizations tab.]</w:t>
      </w:r>
    </w:p>
    <w:p>
      <w:r>
        <w:rPr>
          <w:b/>
        </w:rPr>
        <w:t xml:space="preserve">RACI Mapping (Manager Workpaper): </w:t>
      </w:r>
      <w:r>
        <w:t>Build a simple who-can-do-what mapping from the role review to visualize where the design does or doesn't enforce separation.</w:t>
      </w:r>
    </w:p>
    <w:p>
      <w:r>
        <w:rPr>
          <w:b/>
        </w:rPr>
        <w:t xml:space="preserve">Design Effectiveness Memo (Manager Workpaper): </w:t>
      </w:r>
      <w:r>
        <w:t>Document the design conclusion explicitly, separate from any operating-effectiveness conclusion drawn from prior fieldwork.</w:t>
      </w:r>
    </w:p>
    <w:p>
      <w:pPr>
        <w:pStyle w:val="Heading2"/>
      </w:pPr>
      <w:r>
        <w:t>BOOK 38 — HOW MANY IS ENOUGH</w:t>
      </w:r>
    </w:p>
    <w:p>
      <w:r>
        <w:rPr>
          <w:b/>
        </w:rPr>
        <w:t>Scope area: Operating Effectiveness Sampling</w:t>
      </w:r>
    </w:p>
    <w:p>
      <w:r>
        <w:t>As engagement manager, determine the sample size and selection method for each key control's operating-effectiveness test — matched to the control's frequency and the engagement's reliance strategy — rather than defaulting to the same handful of items every time.</w:t>
      </w:r>
    </w:p>
    <w:p>
      <w:pPr>
        <w:pStyle w:val="Heading3"/>
      </w:pPr>
      <w:r>
        <w:t>What to watch for</w:t>
      </w:r>
    </w:p>
    <w:p>
      <w:r>
        <w:t>A sample size that looks rigorous but was drawn from an already-filtered report can be entirely correct in its math and still support the wrong conclusion, because the population itself was wrong before the first item was ever selected.</w:t>
      </w:r>
    </w:p>
    <w:p>
      <w:pPr>
        <w:pStyle w:val="Heading3"/>
      </w:pPr>
      <w:r>
        <w:t>Evidence you will need</w:t>
      </w:r>
    </w:p>
    <w:p>
      <w:r>
        <w:t>The RCM frequency reference for each control, the sample-size determination and rationale, the population-completeness confirmation, and the documented sample-selection method.</w:t>
      </w:r>
    </w:p>
    <w:p>
      <w:pPr>
        <w:pStyle w:val="Heading3"/>
      </w:pPr>
      <w:r>
        <w:t>Execution steps (as they appear in the app)</w:t>
      </w:r>
    </w:p>
    <w:p>
      <w:r>
        <w:rPr>
          <w:b/>
        </w:rPr>
        <w:t xml:space="preserve">RCM Frequency Review (Manager Workpaper): </w:t>
      </w:r>
      <w:r>
        <w:t>Pull the documented frequency for each key control from the RCM built in Book 36.</w:t>
      </w:r>
    </w:p>
    <w:p>
      <w:r>
        <w:rPr>
          <w:b/>
        </w:rPr>
        <w:t xml:space="preserve">Sample Size Table (Manager Workpaper / Sampling Guide): </w:t>
      </w:r>
      <w:r>
        <w:t>Apply the standard frequency-based sample-size table and document any deviation with a stated rationale.</w:t>
      </w:r>
    </w:p>
    <w:p>
      <w:r>
        <w:rPr>
          <w:b/>
        </w:rPr>
        <w:t xml:space="preserve">SE16N (SAP GUI): </w:t>
      </w:r>
      <w:r>
        <w:t>Confirm the population source table directly rather than relying on a pre-filtered report. [Navigation: type SE16N, enter the relevant table, confirm record count against any report total being compared.]</w:t>
      </w:r>
    </w:p>
    <w:p>
      <w:r>
        <w:rPr>
          <w:b/>
        </w:rPr>
        <w:t xml:space="preserve">Sample Selection (Random / Haphazard / Judgmental): </w:t>
      </w:r>
      <w:r>
        <w:t>Select the sample using the documented method and record the selection rationale in the workpaper.</w:t>
      </w:r>
    </w:p>
    <w:p>
      <w:r>
        <w:br w:type="page"/>
      </w:r>
    </w:p>
    <w:p>
      <w:pPr>
        <w:pStyle w:val="Heading1"/>
      </w:pPr>
      <w:r>
        <w:rPr>
          <w:color w:val="1B2A41"/>
        </w:rPr>
        <w:t>Before Day 20</w:t>
      </w:r>
    </w:p>
    <w:p>
      <w:r>
        <w:rPr>
          <w:i/>
        </w:rPr>
        <w:t>Part XI — Manager Track Elective — From Finding to Closure · Part XII — Clean Core / RISE Governance</w:t>
      </w:r>
    </w:p>
    <w:p>
      <w:pPr>
        <w:pStyle w:val="Heading2"/>
      </w:pPr>
      <w:r>
        <w:t>BOOK 39 — WHAT KIND OF FINDING IS THIS</w:t>
      </w:r>
    </w:p>
    <w:p>
      <w:r>
        <w:rPr>
          <w:b/>
        </w:rPr>
        <w:t>Scope area: Deficiency Classification</w:t>
      </w:r>
    </w:p>
    <w:p>
      <w:r>
        <w:t>As engagement manager, take the findings accumulated across this engagement's fieldwork and classify each one by severity — deficiency, significant deficiency, or material weakness — using a consistent, documented framework rather than gut feel or how uncomfortable the finding is to deliver.</w:t>
      </w:r>
    </w:p>
    <w:p>
      <w:pPr>
        <w:pStyle w:val="Heading3"/>
      </w:pPr>
      <w:r>
        <w:t>What to watch for</w:t>
      </w:r>
    </w:p>
    <w:p>
      <w:r>
        <w:t>Rating every finding the same severity because that's administratively simpler, or downgrading a finding because delivering a "material weakness" conversation is uncomfortable, both break the classification framework's only real job — giving management and the board an honest picture of where the risk actually is.</w:t>
      </w:r>
    </w:p>
    <w:p>
      <w:pPr>
        <w:pStyle w:val="Heading3"/>
      </w:pPr>
      <w:r>
        <w:t>Evidence you will need</w:t>
      </w:r>
    </w:p>
    <w:p>
      <w:r>
        <w:t>The compiled findings inventory, the quantitative impact assessment per finding, the compensating-control cross-reference, and the severity classification memo with documented rationale.</w:t>
      </w:r>
    </w:p>
    <w:p>
      <w:pPr>
        <w:pStyle w:val="Heading3"/>
      </w:pPr>
      <w:r>
        <w:t>Execution steps (as they appear in the app)</w:t>
      </w:r>
    </w:p>
    <w:p>
      <w:r>
        <w:rPr>
          <w:b/>
        </w:rPr>
        <w:t xml:space="preserve">Findings Inventory (Manager Workpaper): </w:t>
      </w:r>
      <w:r>
        <w:t>Compile every finding from the engagement's fieldwork Books into a single inventory before individually rating any of them.</w:t>
      </w:r>
    </w:p>
    <w:p>
      <w:r>
        <w:rPr>
          <w:b/>
        </w:rPr>
        <w:t xml:space="preserve">Quantitative Impact Assessment (Manager Workpaper): </w:t>
      </w:r>
      <w:r>
        <w:t>Recalculate or confirm each finding's full population impact rather than relying on the original sample count.</w:t>
      </w:r>
    </w:p>
    <w:p>
      <w:r>
        <w:rPr>
          <w:b/>
        </w:rPr>
        <w:t xml:space="preserve">RCM Cross-Reference (Manager Workpaper): </w:t>
      </w:r>
      <w:r>
        <w:t>Check the RCM for a compensating control relevant to each finding before finalizing its severity.</w:t>
      </w:r>
    </w:p>
    <w:p>
      <w:r>
        <w:rPr>
          <w:b/>
        </w:rPr>
        <w:t xml:space="preserve">Severity Classification Memo (Manager Workpaper): </w:t>
      </w:r>
      <w:r>
        <w:t>Apply the documented severity framework to every finding and record the specific rationale for each rating.</w:t>
      </w:r>
    </w:p>
    <w:p>
      <w:pPr>
        <w:pStyle w:val="Heading2"/>
      </w:pPr>
      <w:r>
        <w:t>BOOK 40 — THE CONTROL THAT MOVED</w:t>
      </w:r>
    </w:p>
    <w:p>
      <w:r>
        <w:rPr>
          <w:b/>
        </w:rPr>
        <w:t>Scope area: Extensibility Classification, Transport Governance &amp; AI Code Review</w:t>
      </w:r>
    </w:p>
    <w:p>
      <w:r>
        <w:t>As engagement manager, establish the governance checkpoints a control needs to survive Thornfield's move to S/4HANA Cloud under Clean Core — classify the custom object behind the control by extensibility level, confirm every transport touching it carries proper Clean Core sign-off, and review any AI-generated ABAP proposed as its replacement before it ever reaches production.</w:t>
      </w:r>
    </w:p>
    <w:p>
      <w:pPr>
        <w:pStyle w:val="Heading3"/>
      </w:pPr>
      <w:r>
        <w:t>What to watch for</w:t>
      </w:r>
    </w:p>
    <w:p>
      <w:r>
        <w:t>Treating 'the report still runs' as proof a control survived Clean Core remediation intact, or treating AI-generated code as pre-approved because it compiled and passed a unit test — both skip the actual governance question, which is whether the object's classification, its transport history, and its review trail can withstand being asked about individually, not just whether the output looks right today.</w:t>
      </w:r>
    </w:p>
    <w:p>
      <w:pPr>
        <w:pStyle w:val="Heading3"/>
      </w:pPr>
      <w:r>
        <w:t>Evidence you will need</w:t>
      </w:r>
    </w:p>
    <w:p>
      <w:r>
        <w:t>The custom-code extensibility classification output, the transport log with sign-off and Clean Core impact notes for the review period, the AI-code review sign-off record where Joule for Developers or an equivalent tool was used, and the custom-code migration worklist cross-reference.</w:t>
      </w:r>
    </w:p>
    <w:p>
      <w:pPr>
        <w:pStyle w:val="Heading3"/>
      </w:pPr>
      <w:r>
        <w:t>Execution steps (as they appear in the app)</w:t>
      </w:r>
    </w:p>
    <w:p>
      <w:r>
        <w:rPr>
          <w:b/>
        </w:rPr>
        <w:t xml:space="preserve">Extensibility-Level Classification (SAP Readiness Check): </w:t>
      </w:r>
      <w:r>
        <w:t>Classify the control's custom object A through D using the Custom Code Migration app output.</w:t>
      </w:r>
    </w:p>
    <w:p>
      <w:r>
        <w:rPr>
          <w:b/>
        </w:rPr>
        <w:t xml:space="preserve">Transport Governance Review (STMS): </w:t>
      </w:r>
      <w:r>
        <w:t>Pull the transport log for the object and confirm sign-off and a Clean Core impact note on every entry.</w:t>
      </w:r>
    </w:p>
    <w:p>
      <w:r>
        <w:rPr>
          <w:b/>
        </w:rPr>
        <w:t xml:space="preserve">AI-Generated Code Review (Joule for Developers): </w:t>
      </w:r>
      <w:r>
        <w:t>Confirm human sign-off on Clean Core compliance for any AI-assisted ABAP change before it was promoted.</w:t>
      </w:r>
    </w:p>
    <w:p>
      <w:r>
        <w:rPr>
          <w:b/>
        </w:rPr>
        <w:t xml:space="preserve">Migration Worklist Cross-Reference (SAP Readiness Check): </w:t>
      </w:r>
      <w:r>
        <w:t>Check the object's documented disposition on the migration worklist against what was actually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