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svg" ContentType="image/svg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eastAsia="PMingLiU"/>
          <w:b/>
          <w:color w:val="000099"/>
          <w:sz w:val="40"/>
        </w:rPr>
        <w:t>2026 年第三季通路保費</w:t>
      </w:r>
    </w:p>
    <w:p>
      <w:r>
        <w:rPr>
          <w:rFonts w:ascii="Microsoft JhengHei" w:hAnsi="Microsoft JhengHei" w:eastAsia="Microsoft JhengHei"/>
          <w:b/>
          <w:color w:val="7F7F7F"/>
          <w:sz w:val="28"/>
        </w:rPr>
        <w:t>Before</w:t>
      </w:r>
    </w:p>
    <w:p>
      <w:r>
        <w:rPr>
          <w:rFonts w:ascii="Microsoft JhengHei" w:hAnsi="Microsoft JhengHei" w:eastAsia="Microsoft JhengHei"/>
          <w:b w:val="0"/>
          <w:color w:val="4A4A4A"/>
          <w:sz w:val="22"/>
        </w:rPr>
        <w:t>2026 年第三季</w:t>
      </w:r>
    </w:p>
    <w:p>
      <w:r>
        <w:drawing>
          <wp:inline distT="0" distB="0" distL="0" distR="0">
            <wp:extent cx="5334000" cy="2333625"/>
            <wp:docPr id="1001" name="chart-before.svg" descr="chart-before.svg"/>
            <a:graphic>
              <a:graphicData uri="http://schemas.openxmlformats.org/drawingml/2006/picture">
                <pic:pic>
                  <pic:nvPicPr>
                    <pic:cNvPr id="0" name="chart-before.svg"/>
                    <pic:cNvPicPr/>
                  </pic:nvPicPr>
                  <pic:blipFill>
                    <a:blip r:embed="rIdSvgBefore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/>
                <w:color w:val="111111"/>
                <w:sz w:val="20"/>
              </w:rPr>
              <w:t>通路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/>
                <w:color w:val="111111"/>
                <w:sz w:val="20"/>
              </w:rPr>
              <w:t>保費（百萬元）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color w:val="111111"/>
                <w:sz w:val="20"/>
              </w:rPr>
              <w:t>業務員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color w:val="111111"/>
                <w:sz w:val="20"/>
              </w:rPr>
              <w:t>120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color w:val="111111"/>
                <w:sz w:val="20"/>
              </w:rPr>
              <w:t>銀保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color w:val="111111"/>
                <w:sz w:val="20"/>
              </w:rPr>
              <w:t>88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color w:val="111111"/>
                <w:sz w:val="20"/>
              </w:rPr>
              <w:t>經代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color w:val="111111"/>
                <w:sz w:val="20"/>
              </w:rPr>
              <w:t>54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color w:val="111111"/>
                <w:sz w:val="20"/>
              </w:rPr>
              <w:t>直效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color w:val="111111"/>
                <w:sz w:val="20"/>
              </w:rPr>
              <w:t>38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color w:val="111111"/>
                <w:sz w:val="20"/>
              </w:rPr>
              <w:t>合計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color w:val="111111"/>
                <w:sz w:val="20"/>
              </w:rPr>
              <w:t>300</w:t>
            </w:r>
          </w:p>
        </w:tc>
      </w:tr>
    </w:tbl>
    <w:p>
      <w:r>
        <w:rPr>
          <w:rFonts w:ascii="Microsoft JhengHei" w:hAnsi="Microsoft JhengHei" w:eastAsia="Microsoft JhengHei"/>
          <w:b w:val="0"/>
          <w:color w:val="111111"/>
          <w:sz w:val="20"/>
        </w:rPr>
        <w:t>四個通路的保費合計為 300 百萬元。業務員通路為 120 百萬元，銀保為 88 百萬元，經代為 54 百萬元，直效為 38 百萬元。</w:t>
      </w:r>
    </w:p>
    <w:p>
      <w:r>
        <w:rPr>
          <w:rFonts w:ascii="Microsoft JhengHei" w:hAnsi="Microsoft JhengHei" w:eastAsia="Microsoft JhengHei"/>
          <w:b w:val="0"/>
          <w:color w:val="111111"/>
          <w:sz w:val="20"/>
        </w:rPr>
        <w:t>本頁只比較同一期間的保費規模。資料未提供成本、利潤或前期數值，因此不能據此判斷獲利能力或成長速度。</w:t>
      </w:r>
    </w:p>
    <w:p>
      <w:r>
        <w:rPr>
          <w:rFonts w:ascii="Microsoft JhengHei" w:hAnsi="Microsoft JhengHei" w:eastAsia="Microsoft JhengHei"/>
          <w:b w:val="0"/>
          <w:color w:val="4A4A4A"/>
          <w:sz w:val="18"/>
        </w:rPr>
        <w:t>資料來源：校準用示意資料，非真實營運數據。</w:t>
      </w:r>
    </w:p>
    <w:p>
      <w:r>
        <w:br w:type="page"/>
      </w:r>
    </w:p>
    <w:p>
      <w:pPr>
        <w:pStyle w:val="Heading1"/>
      </w:pPr>
      <w:r>
        <w:rPr>
          <w:rFonts w:ascii="Cambria" w:hAnsi="Cambria" w:eastAsia="PMingLiU"/>
          <w:b/>
          <w:color w:val="000099"/>
          <w:sz w:val="40"/>
        </w:rPr>
        <w:t>業務員通路保費最高，為 120 百萬元</w:t>
      </w:r>
    </w:p>
    <w:p>
      <w:r>
        <w:rPr>
          <w:rFonts w:ascii="Microsoft JhengHei" w:hAnsi="Microsoft JhengHei" w:eastAsia="Microsoft JhengHei"/>
          <w:b/>
          <w:color w:val="28317B"/>
          <w:sz w:val="28"/>
        </w:rPr>
        <w:t>After</w:t>
      </w:r>
    </w:p>
    <w:p>
      <w:r>
        <w:rPr>
          <w:rFonts w:ascii="Microsoft JhengHei" w:hAnsi="Microsoft JhengHei" w:eastAsia="Microsoft JhengHei"/>
          <w:b w:val="0"/>
          <w:color w:val="4A4A4A"/>
          <w:sz w:val="22"/>
        </w:rPr>
        <w:t>2026 年第三季</w:t>
      </w:r>
    </w:p>
    <w:p>
      <w:r>
        <w:drawing>
          <wp:inline distT="0" distB="0" distL="0" distR="0">
            <wp:extent cx="5334000" cy="2333625"/>
            <wp:docPr id="1002" name="chart-after.svg" descr="chart-after.svg"/>
            <a:graphic>
              <a:graphicData uri="http://schemas.openxmlformats.org/drawingml/2006/picture">
                <pic:pic>
                  <pic:nvPicPr>
                    <pic:cNvPr id="0" name="chart-after.svg"/>
                    <pic:cNvPicPr/>
                  </pic:nvPicPr>
                  <pic:blipFill>
                    <a:blip r:embed="rIdSvgAfter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/>
                <w:color w:val="111111"/>
                <w:sz w:val="20"/>
              </w:rPr>
              <w:t>通路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/>
                <w:color w:val="111111"/>
                <w:sz w:val="20"/>
              </w:rPr>
              <w:t>保費（百萬元）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color w:val="111111"/>
                <w:sz w:val="20"/>
              </w:rPr>
              <w:t>業務員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color w:val="111111"/>
                <w:sz w:val="20"/>
              </w:rPr>
              <w:t>120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color w:val="111111"/>
                <w:sz w:val="20"/>
              </w:rPr>
              <w:t>銀保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color w:val="111111"/>
                <w:sz w:val="20"/>
              </w:rPr>
              <w:t>88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color w:val="111111"/>
                <w:sz w:val="20"/>
              </w:rPr>
              <w:t>經代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color w:val="111111"/>
                <w:sz w:val="20"/>
              </w:rPr>
              <w:t>54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color w:val="111111"/>
                <w:sz w:val="20"/>
              </w:rPr>
              <w:t>直效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color w:val="111111"/>
                <w:sz w:val="20"/>
              </w:rPr>
              <w:t>38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color w:val="111111"/>
                <w:sz w:val="20"/>
              </w:rPr>
              <w:t>合計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color w:val="111111"/>
                <w:sz w:val="20"/>
              </w:rPr>
              <w:t>300</w:t>
            </w:r>
          </w:p>
        </w:tc>
      </w:tr>
    </w:tbl>
    <w:p>
      <w:r>
        <w:rPr>
          <w:rFonts w:ascii="Microsoft JhengHei" w:hAnsi="Microsoft JhengHei" w:eastAsia="Microsoft JhengHei"/>
          <w:b w:val="0"/>
          <w:color w:val="111111"/>
          <w:sz w:val="20"/>
        </w:rPr>
        <w:t>四個通路的保費合計為 300 百萬元。業務員通路為 120 百萬元，銀保為 88 百萬元，經代為 54 百萬元，直效為 38 百萬元。</w:t>
      </w:r>
    </w:p>
    <w:p>
      <w:r>
        <w:rPr>
          <w:rFonts w:ascii="Microsoft JhengHei" w:hAnsi="Microsoft JhengHei" w:eastAsia="Microsoft JhengHei"/>
          <w:b w:val="0"/>
          <w:color w:val="111111"/>
          <w:sz w:val="20"/>
        </w:rPr>
        <w:t>本頁只比較同一期間的保費規模。資料未提供成本、利潤或前期數值，因此不能據此判斷獲利能力或成長速度。</w:t>
      </w:r>
    </w:p>
    <w:p>
      <w:r>
        <w:rPr>
          <w:rFonts w:ascii="Microsoft JhengHei" w:hAnsi="Microsoft JhengHei" w:eastAsia="Microsoft JhengHei"/>
          <w:b w:val="0"/>
          <w:color w:val="4A4A4A"/>
          <w:sz w:val="18"/>
        </w:rPr>
        <w:t>資料來源：校準用示意資料，非真實營運數據。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SvgBefore" Type="http://schemas.openxmlformats.org/officeDocument/2006/relationships/image" Target="media/chart-before.svg"/><Relationship Id="rIdSvgAfter" Type="http://schemas.openxmlformats.org/officeDocument/2006/relationships/image" Target="media/chart-after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