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w:t>
      </w:r>
      <w:bookmarkStart w:id="1" w:name="_GoBack"/>
      <w:bookmarkEnd w:id="1"/>
      <w:r>
        <w:rPr>
          <w:rFonts w:ascii="Arial" w:eastAsia="Arial" w:hAnsi="Arial" w:cs="Arial"/>
          <w:b/>
          <w:sz w:val="36"/>
          <w:szCs w:val="36"/>
        </w:rPr>
        <w:t>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proofErr w:type="spellStart"/>
            <w:r>
              <w:t>Monteza</w:t>
            </w:r>
            <w:proofErr w:type="spellEnd"/>
            <w:r>
              <w:t xml:space="preserve">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proofErr w:type="spellStart"/>
            <w:r>
              <w:rPr>
                <w:rFonts w:ascii="Arial" w:eastAsia="Arial" w:hAnsi="Arial" w:cs="Arial"/>
              </w:rPr>
              <w:t>Monteza</w:t>
            </w:r>
            <w:proofErr w:type="spellEnd"/>
            <w:r>
              <w:rPr>
                <w:rFonts w:ascii="Arial" w:eastAsia="Arial" w:hAnsi="Arial" w:cs="Arial"/>
              </w:rPr>
              <w:t xml:space="preserve">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proofErr w:type="spellStart"/>
            <w:r>
              <w:t>Elias</w:t>
            </w:r>
            <w:proofErr w:type="spellEnd"/>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w:t>
      </w:r>
      <w:proofErr w:type="spellStart"/>
      <w:r w:rsidR="00B43401">
        <w:rPr>
          <w:rFonts w:ascii="Arial" w:eastAsia="Arial" w:hAnsi="Arial" w:cs="Arial"/>
          <w:color w:val="000000"/>
          <w:sz w:val="22"/>
          <w:szCs w:val="22"/>
        </w:rPr>
        <w:t>mantenibles</w:t>
      </w:r>
      <w:proofErr w:type="spellEnd"/>
      <w:r w:rsidR="00B43401">
        <w:rPr>
          <w:rFonts w:ascii="Arial" w:eastAsia="Arial" w:hAnsi="Arial" w:cs="Arial"/>
          <w:color w:val="000000"/>
          <w:sz w:val="22"/>
          <w:szCs w:val="22"/>
        </w:rPr>
        <w:t xml:space="preserve">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2" w:name="_30j0zll" w:colFirst="0" w:colLast="0"/>
      <w:bookmarkEnd w:id="2"/>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Default="00720578" w:rsidP="00720578">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Nombre del Rol</w:t>
            </w:r>
          </w:p>
        </w:tc>
        <w:tc>
          <w:tcPr>
            <w:tcW w:w="6200" w:type="dxa"/>
            <w:shd w:val="clear" w:color="auto" w:fill="EAF1DD" w:themeFill="accent3" w:themeFillTint="33"/>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Responsabilidades</w:t>
            </w:r>
          </w:p>
        </w:tc>
        <w:tc>
          <w:tcPr>
            <w:tcW w:w="1177" w:type="dxa"/>
            <w:shd w:val="clear" w:color="auto" w:fill="EAF1DD" w:themeFill="accent3" w:themeFillTint="33"/>
          </w:tcPr>
          <w:p w:rsidR="00720578"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Cantidad</w:t>
            </w:r>
          </w:p>
        </w:tc>
      </w:tr>
      <w:tr w:rsidR="00720578" w:rsidTr="001D4B46">
        <w:trPr>
          <w:trHeight w:val="793"/>
          <w:jc w:val="center"/>
        </w:trPr>
        <w:tc>
          <w:tcPr>
            <w:tcW w:w="1988" w:type="dxa"/>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Project manager</w:t>
            </w:r>
          </w:p>
        </w:tc>
        <w:tc>
          <w:tcPr>
            <w:tcW w:w="6200" w:type="dxa"/>
          </w:tcPr>
          <w:p w:rsidR="00720578" w:rsidRPr="001D4B46" w:rsidRDefault="00720578" w:rsidP="001D4B46">
            <w:pPr>
              <w:pStyle w:val="ListParagraph"/>
              <w:widowControl/>
              <w:numPr>
                <w:ilvl w:val="0"/>
                <w:numId w:val="13"/>
              </w:numPr>
              <w:spacing w:line="259" w:lineRule="auto"/>
              <w:rPr>
                <w:rFonts w:ascii="Arial" w:eastAsia="Arial" w:hAnsi="Arial" w:cs="Arial"/>
                <w:color w:val="000000"/>
                <w:sz w:val="24"/>
                <w:szCs w:val="28"/>
              </w:rPr>
            </w:pPr>
            <w:r w:rsidRPr="001D4B46">
              <w:rPr>
                <w:rFonts w:ascii="Arial" w:eastAsia="Arial" w:hAnsi="Arial" w:cs="Arial"/>
                <w:color w:val="000000"/>
                <w:sz w:val="24"/>
                <w:szCs w:val="28"/>
              </w:rPr>
              <w:t>Supervisar el funcionamiento de la gestión de la configuración</w:t>
            </w:r>
          </w:p>
        </w:tc>
        <w:tc>
          <w:tcPr>
            <w:tcW w:w="1177" w:type="dxa"/>
            <w:vAlign w:val="center"/>
          </w:tcPr>
          <w:p w:rsidR="00720578" w:rsidRDefault="00720578"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1</w:t>
            </w:r>
          </w:p>
        </w:tc>
      </w:tr>
      <w:tr w:rsidR="00720578" w:rsidTr="001D4B46">
        <w:trPr>
          <w:trHeight w:val="1601"/>
          <w:jc w:val="center"/>
        </w:trPr>
        <w:tc>
          <w:tcPr>
            <w:tcW w:w="1988" w:type="dxa"/>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Gestor de la configuración</w:t>
            </w:r>
          </w:p>
        </w:tc>
        <w:tc>
          <w:tcPr>
            <w:tcW w:w="6200" w:type="dxa"/>
          </w:tcPr>
          <w:p w:rsidR="001D4B46" w:rsidRDefault="001D4B46" w:rsidP="001D4B46">
            <w:pPr>
              <w:pStyle w:val="ListParagraph"/>
              <w:widowControl/>
              <w:numPr>
                <w:ilvl w:val="0"/>
                <w:numId w:val="11"/>
              </w:numPr>
              <w:spacing w:line="256" w:lineRule="auto"/>
              <w:jc w:val="both"/>
              <w:rPr>
                <w:rFonts w:ascii="Arial" w:eastAsia="Arial" w:hAnsi="Arial" w:cs="Arial"/>
                <w:color w:val="000000"/>
                <w:sz w:val="24"/>
                <w:szCs w:val="28"/>
              </w:rPr>
            </w:pPr>
            <w:r>
              <w:rPr>
                <w:rFonts w:ascii="Arial" w:eastAsia="Arial" w:hAnsi="Arial" w:cs="Arial"/>
                <w:color w:val="000000"/>
                <w:sz w:val="24"/>
                <w:szCs w:val="28"/>
              </w:rPr>
              <w:t>Monitorear y reportar los cambios no autorizados sobre los elementos de configuración.</w:t>
            </w:r>
          </w:p>
          <w:p w:rsidR="001D4B46" w:rsidRDefault="001D4B46" w:rsidP="001D4B46">
            <w:pPr>
              <w:pStyle w:val="ListParagraph"/>
              <w:widowControl/>
              <w:numPr>
                <w:ilvl w:val="0"/>
                <w:numId w:val="11"/>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la consistencia e integridad de los datos de la base de datos de configuración a través de la ejecución de procedimientos de verificación y auditoría.</w:t>
            </w:r>
          </w:p>
          <w:p w:rsidR="00720578" w:rsidRPr="001D4B46" w:rsidRDefault="001D4B46" w:rsidP="001D4B46">
            <w:pPr>
              <w:pStyle w:val="ListParagraph"/>
              <w:widowControl/>
              <w:numPr>
                <w:ilvl w:val="0"/>
                <w:numId w:val="11"/>
              </w:numPr>
              <w:spacing w:line="259" w:lineRule="auto"/>
              <w:rPr>
                <w:rFonts w:ascii="Arial" w:eastAsia="Arial" w:hAnsi="Arial" w:cs="Arial"/>
                <w:color w:val="000000"/>
                <w:sz w:val="24"/>
                <w:szCs w:val="28"/>
              </w:rPr>
            </w:pPr>
            <w:r w:rsidRPr="001D4B46">
              <w:rPr>
                <w:rFonts w:ascii="Arial" w:eastAsia="Arial" w:hAnsi="Arial" w:cs="Arial"/>
                <w:color w:val="000000"/>
                <w:sz w:val="24"/>
                <w:szCs w:val="28"/>
              </w:rPr>
              <w:t>Aprobar cambios estructurales en la base de datos de configuración</w:t>
            </w:r>
          </w:p>
        </w:tc>
        <w:tc>
          <w:tcPr>
            <w:tcW w:w="1177" w:type="dxa"/>
            <w:vAlign w:val="center"/>
          </w:tcPr>
          <w:p w:rsidR="00720578" w:rsidRDefault="00720578"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5</w:t>
            </w:r>
          </w:p>
        </w:tc>
      </w:tr>
      <w:tr w:rsidR="001D4B46" w:rsidTr="001D4B46">
        <w:trPr>
          <w:trHeight w:val="1601"/>
          <w:jc w:val="center"/>
        </w:trPr>
        <w:tc>
          <w:tcPr>
            <w:tcW w:w="1988" w:type="dxa"/>
          </w:tcPr>
          <w:p w:rsidR="001D4B46" w:rsidRDefault="001D4B46"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Bibliotecario de configuración</w:t>
            </w:r>
          </w:p>
        </w:tc>
        <w:tc>
          <w:tcPr>
            <w:tcW w:w="6200" w:type="dxa"/>
          </w:tcPr>
          <w:p w:rsidR="001D4B46" w:rsidRDefault="001D4B46" w:rsidP="001D4B46">
            <w:pPr>
              <w:pStyle w:val="ListParagraph"/>
              <w:widowControl/>
              <w:numPr>
                <w:ilvl w:val="0"/>
                <w:numId w:val="14"/>
              </w:numPr>
              <w:spacing w:line="256" w:lineRule="auto"/>
              <w:jc w:val="both"/>
              <w:rPr>
                <w:rFonts w:ascii="Arial" w:eastAsia="Arial" w:hAnsi="Arial" w:cs="Arial"/>
                <w:color w:val="000000"/>
                <w:sz w:val="24"/>
                <w:szCs w:val="28"/>
              </w:rPr>
            </w:pPr>
            <w:r>
              <w:rPr>
                <w:rFonts w:ascii="Arial" w:eastAsia="Arial" w:hAnsi="Arial" w:cs="Arial"/>
                <w:color w:val="000000"/>
                <w:sz w:val="24"/>
                <w:szCs w:val="28"/>
              </w:rPr>
              <w:t>Custodiar la información de los artículos de la configuración.</w:t>
            </w:r>
          </w:p>
          <w:p w:rsidR="001D4B46" w:rsidRDefault="001D4B46" w:rsidP="001D4B46">
            <w:pPr>
              <w:pStyle w:val="ListParagraph"/>
              <w:widowControl/>
              <w:numPr>
                <w:ilvl w:val="0"/>
                <w:numId w:val="14"/>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que todos los elementos de configuración están registrados de forma adecuada en la base de datos de configuración.</w:t>
            </w:r>
          </w:p>
          <w:p w:rsidR="001D4B46" w:rsidRDefault="001D4B46" w:rsidP="001D4B46">
            <w:pPr>
              <w:pStyle w:val="ListParagraph"/>
              <w:widowControl/>
              <w:numPr>
                <w:ilvl w:val="0"/>
                <w:numId w:val="14"/>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que los responsables de los elementos de configuración actualizan los históricos de estos elementos con los cambios implementados.</w:t>
            </w:r>
          </w:p>
        </w:tc>
        <w:tc>
          <w:tcPr>
            <w:tcW w:w="1177" w:type="dxa"/>
            <w:vAlign w:val="center"/>
          </w:tcPr>
          <w:p w:rsidR="001D4B46" w:rsidRDefault="001D4B46"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5</w:t>
            </w:r>
          </w:p>
        </w:tc>
      </w:tr>
      <w:tr w:rsidR="00720578" w:rsidTr="001D4B46">
        <w:trPr>
          <w:trHeight w:val="1277"/>
          <w:jc w:val="center"/>
        </w:trPr>
        <w:tc>
          <w:tcPr>
            <w:tcW w:w="1988" w:type="dxa"/>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6200" w:type="dxa"/>
          </w:tcPr>
          <w:p w:rsidR="001D4B46" w:rsidRDefault="001D4B46" w:rsidP="001D4B46">
            <w:pPr>
              <w:pStyle w:val="ListParagraph"/>
              <w:widowControl/>
              <w:numPr>
                <w:ilvl w:val="0"/>
                <w:numId w:val="15"/>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Auditar la gestión de la configuración.</w:t>
            </w:r>
          </w:p>
          <w:p w:rsidR="001D4B46" w:rsidRDefault="001D4B46" w:rsidP="001D4B46">
            <w:pPr>
              <w:pStyle w:val="ListParagraph"/>
              <w:widowControl/>
              <w:numPr>
                <w:ilvl w:val="0"/>
                <w:numId w:val="15"/>
              </w:numPr>
              <w:spacing w:line="256" w:lineRule="auto"/>
              <w:jc w:val="both"/>
              <w:rPr>
                <w:rFonts w:ascii="Arial" w:eastAsia="Arial" w:hAnsi="Arial" w:cs="Arial"/>
                <w:color w:val="000000"/>
                <w:sz w:val="24"/>
                <w:szCs w:val="28"/>
              </w:rPr>
            </w:pPr>
            <w:r>
              <w:rPr>
                <w:rFonts w:ascii="Arial" w:eastAsia="Arial" w:hAnsi="Arial" w:cs="Arial"/>
                <w:color w:val="000000"/>
                <w:sz w:val="24"/>
                <w:szCs w:val="28"/>
              </w:rPr>
              <w:t>Verificar que los cambios sobre los elementos de configuración siguen el proceso de cambios definido.</w:t>
            </w:r>
          </w:p>
          <w:p w:rsidR="00720578" w:rsidRPr="001D4B46" w:rsidRDefault="001D4B46" w:rsidP="001D4B46">
            <w:pPr>
              <w:pStyle w:val="ListParagraph"/>
              <w:widowControl/>
              <w:numPr>
                <w:ilvl w:val="0"/>
                <w:numId w:val="15"/>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la idoneidad e integridad de los elementos de configuración de los que es responsable.</w:t>
            </w:r>
          </w:p>
        </w:tc>
        <w:tc>
          <w:tcPr>
            <w:tcW w:w="1177" w:type="dxa"/>
            <w:vAlign w:val="center"/>
          </w:tcPr>
          <w:p w:rsidR="00720578" w:rsidRDefault="00892C97"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3</w:t>
            </w:r>
          </w:p>
        </w:tc>
      </w:tr>
      <w:tr w:rsidR="00720578" w:rsidTr="001D4B46">
        <w:trPr>
          <w:trHeight w:val="964"/>
          <w:jc w:val="center"/>
        </w:trPr>
        <w:tc>
          <w:tcPr>
            <w:tcW w:w="1988" w:type="dxa"/>
          </w:tcPr>
          <w:p w:rsidR="00720578"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6200" w:type="dxa"/>
          </w:tcPr>
          <w:p w:rsidR="00720578" w:rsidRPr="001D4B46" w:rsidRDefault="00720578" w:rsidP="001D4B46">
            <w:pPr>
              <w:pStyle w:val="ListParagraph"/>
              <w:widowControl/>
              <w:numPr>
                <w:ilvl w:val="0"/>
                <w:numId w:val="16"/>
              </w:numPr>
              <w:spacing w:line="259" w:lineRule="auto"/>
              <w:rPr>
                <w:rFonts w:ascii="Arial" w:eastAsia="Arial" w:hAnsi="Arial" w:cs="Arial"/>
                <w:color w:val="000000"/>
                <w:sz w:val="24"/>
                <w:szCs w:val="28"/>
              </w:rPr>
            </w:pPr>
            <w:r w:rsidRPr="001D4B46">
              <w:rPr>
                <w:rFonts w:ascii="Arial" w:eastAsia="Arial" w:hAnsi="Arial" w:cs="Arial"/>
                <w:color w:val="000000"/>
                <w:sz w:val="24"/>
                <w:szCs w:val="28"/>
              </w:rPr>
              <w:t>Consultar la información de gestión de la configuración según sus niveles de autoridad</w:t>
            </w:r>
          </w:p>
        </w:tc>
        <w:tc>
          <w:tcPr>
            <w:tcW w:w="1177" w:type="dxa"/>
            <w:vAlign w:val="center"/>
          </w:tcPr>
          <w:p w:rsidR="00720578" w:rsidRDefault="00720578"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6F3118" w:rsidRDefault="006F3118" w:rsidP="003B6CAE">
      <w:pPr>
        <w:widowControl/>
        <w:pBdr>
          <w:top w:val="nil"/>
          <w:left w:val="nil"/>
          <w:bottom w:val="nil"/>
          <w:right w:val="nil"/>
          <w:between w:val="nil"/>
        </w:pBdr>
        <w:spacing w:line="259" w:lineRule="auto"/>
        <w:rPr>
          <w:rFonts w:ascii="Arial" w:eastAsia="Arial" w:hAnsi="Arial" w:cs="Arial"/>
          <w:color w:val="000000"/>
          <w:sz w:val="24"/>
          <w:szCs w:val="28"/>
        </w:rPr>
      </w:pPr>
      <w:r>
        <w:rPr>
          <w:rFonts w:ascii="Arial" w:eastAsia="Arial" w:hAnsi="Arial" w:cs="Arial"/>
          <w:color w:val="000000"/>
          <w:sz w:val="24"/>
          <w:szCs w:val="28"/>
        </w:rPr>
        <w:t>A continuación se mencionan y describen los documentos que contienen las políticas, procedimientos y directivas de la empresa:</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 xml:space="preserve">Manual de </w:t>
      </w:r>
      <w:r w:rsidRPr="006F3118">
        <w:rPr>
          <w:rFonts w:ascii="Arial" w:eastAsia="Arial" w:hAnsi="Arial" w:cs="Arial"/>
          <w:color w:val="000000"/>
          <w:sz w:val="24"/>
          <w:szCs w:val="28"/>
        </w:rPr>
        <w:t>organización</w:t>
      </w:r>
      <w:r w:rsidRPr="006F3118">
        <w:rPr>
          <w:rFonts w:ascii="Arial" w:eastAsia="Arial" w:hAnsi="Arial" w:cs="Arial" w:hint="eastAsia"/>
          <w:color w:val="000000"/>
          <w:sz w:val="24"/>
          <w:szCs w:val="28"/>
        </w:rPr>
        <w:t xml:space="preserve"> y funciones:</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6F3118" w:rsidRDefault="006F3118" w:rsidP="006F3118">
      <w:pPr>
        <w:jc w:val="both"/>
        <w:rPr>
          <w:rFonts w:ascii="Arial" w:eastAsia="Arial" w:hAnsi="Arial" w:cs="Arial"/>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 xml:space="preserve">Plan de </w:t>
      </w:r>
      <w:r w:rsidRPr="006F3118">
        <w:rPr>
          <w:rFonts w:ascii="Arial" w:eastAsia="Arial" w:hAnsi="Arial" w:cs="Arial"/>
          <w:color w:val="000000"/>
          <w:sz w:val="24"/>
          <w:szCs w:val="28"/>
        </w:rPr>
        <w:t>gestión</w:t>
      </w:r>
      <w:r w:rsidRPr="006F3118">
        <w:rPr>
          <w:rFonts w:ascii="Arial" w:eastAsia="Arial" w:hAnsi="Arial" w:cs="Arial" w:hint="eastAsia"/>
          <w:color w:val="000000"/>
          <w:sz w:val="24"/>
          <w:szCs w:val="28"/>
        </w:rPr>
        <w:t xml:space="preserve"> </w:t>
      </w:r>
      <w:r w:rsidRPr="006F3118">
        <w:rPr>
          <w:rFonts w:ascii="Arial" w:eastAsia="Arial" w:hAnsi="Arial" w:cs="Arial"/>
          <w:color w:val="000000"/>
          <w:sz w:val="24"/>
          <w:szCs w:val="28"/>
        </w:rPr>
        <w:t xml:space="preserve">de alcance: </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Establece el modo en que el alcance de cada proyecto será definido, desarrollado, monitoreado, controlado y validado.</w:t>
      </w:r>
    </w:p>
    <w:p w:rsidR="006F3118" w:rsidRPr="006F3118" w:rsidRDefault="006F3118" w:rsidP="006F3118">
      <w:pPr>
        <w:jc w:val="both"/>
        <w:rPr>
          <w:rFonts w:ascii="Arial" w:eastAsia="Arial" w:hAnsi="Arial" w:cs="Arial"/>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 xml:space="preserve">Plan de </w:t>
      </w:r>
      <w:r w:rsidRPr="006F3118">
        <w:rPr>
          <w:rFonts w:ascii="Arial" w:eastAsia="Arial" w:hAnsi="Arial" w:cs="Arial"/>
          <w:color w:val="000000"/>
          <w:sz w:val="24"/>
          <w:szCs w:val="28"/>
        </w:rPr>
        <w:t>gestión</w:t>
      </w:r>
      <w:r w:rsidRPr="006F3118">
        <w:rPr>
          <w:rFonts w:ascii="Arial" w:eastAsia="Arial" w:hAnsi="Arial" w:cs="Arial" w:hint="eastAsia"/>
          <w:color w:val="000000"/>
          <w:sz w:val="24"/>
          <w:szCs w:val="28"/>
        </w:rPr>
        <w:t xml:space="preserve"> </w:t>
      </w:r>
      <w:r w:rsidRPr="006F3118">
        <w:rPr>
          <w:rFonts w:ascii="Arial" w:eastAsia="Arial" w:hAnsi="Arial" w:cs="Arial"/>
          <w:color w:val="000000"/>
          <w:sz w:val="24"/>
          <w:szCs w:val="28"/>
        </w:rPr>
        <w:t>de los requisitos:</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Establece como se analizaran, documentaran y gestionaran los requisitos.</w:t>
      </w:r>
    </w:p>
    <w:p w:rsidR="006F3118" w:rsidRPr="006F3118" w:rsidRDefault="006F3118" w:rsidP="006F3118">
      <w:pPr>
        <w:jc w:val="both"/>
        <w:rPr>
          <w:rFonts w:ascii="Arial" w:eastAsia="Arial" w:hAnsi="Arial" w:cs="Arial"/>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Plan</w:t>
      </w:r>
      <w:r w:rsidRPr="006F3118">
        <w:rPr>
          <w:rFonts w:ascii="Arial" w:eastAsia="Arial" w:hAnsi="Arial" w:cs="Arial"/>
          <w:color w:val="000000"/>
          <w:sz w:val="24"/>
          <w:szCs w:val="28"/>
        </w:rPr>
        <w:t xml:space="preserve"> de gestión del cronograma:</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Establece los criterios y las actividades a llevar a cabo para desarrollar, monitorear y controlar el cronograma.</w:t>
      </w:r>
    </w:p>
    <w:p w:rsidR="006F3118" w:rsidRPr="006F3118" w:rsidRDefault="006F3118" w:rsidP="006F3118">
      <w:pPr>
        <w:jc w:val="both"/>
        <w:rPr>
          <w:rFonts w:ascii="Arial" w:eastAsia="Arial" w:hAnsi="Arial" w:cs="Arial"/>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 xml:space="preserve">Plan de </w:t>
      </w:r>
      <w:r w:rsidRPr="006F3118">
        <w:rPr>
          <w:rFonts w:ascii="Arial" w:eastAsia="Arial" w:hAnsi="Arial" w:cs="Arial"/>
          <w:color w:val="000000"/>
          <w:sz w:val="24"/>
          <w:szCs w:val="28"/>
        </w:rPr>
        <w:t>gestión</w:t>
      </w:r>
      <w:r w:rsidRPr="006F3118">
        <w:rPr>
          <w:rFonts w:ascii="Arial" w:eastAsia="Arial" w:hAnsi="Arial" w:cs="Arial" w:hint="eastAsia"/>
          <w:color w:val="000000"/>
          <w:sz w:val="24"/>
          <w:szCs w:val="28"/>
        </w:rPr>
        <w:t xml:space="preserve"> </w:t>
      </w:r>
      <w:r w:rsidRPr="006F3118">
        <w:rPr>
          <w:rFonts w:ascii="Arial" w:eastAsia="Arial" w:hAnsi="Arial" w:cs="Arial"/>
          <w:color w:val="000000"/>
          <w:sz w:val="24"/>
          <w:szCs w:val="28"/>
        </w:rPr>
        <w:t>de los costos:</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Establece la forma en que se planificaran, estructuraran y controlaran los costos.</w:t>
      </w:r>
    </w:p>
    <w:p w:rsidR="006F3118" w:rsidRPr="006F3118" w:rsidRDefault="006F3118" w:rsidP="006F3118">
      <w:pPr>
        <w:jc w:val="both"/>
        <w:rPr>
          <w:rFonts w:ascii="Arial" w:eastAsia="Arial" w:hAnsi="Arial" w:cs="Arial"/>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 xml:space="preserve">Plan de </w:t>
      </w:r>
      <w:r w:rsidRPr="006F3118">
        <w:rPr>
          <w:rFonts w:ascii="Arial" w:eastAsia="Arial" w:hAnsi="Arial" w:cs="Arial"/>
          <w:color w:val="000000"/>
          <w:sz w:val="24"/>
          <w:szCs w:val="28"/>
        </w:rPr>
        <w:t>gestión</w:t>
      </w:r>
      <w:r w:rsidRPr="006F3118">
        <w:rPr>
          <w:rFonts w:ascii="Arial" w:eastAsia="Arial" w:hAnsi="Arial" w:cs="Arial" w:hint="eastAsia"/>
          <w:color w:val="000000"/>
          <w:sz w:val="24"/>
          <w:szCs w:val="28"/>
        </w:rPr>
        <w:t xml:space="preserve"> </w:t>
      </w:r>
      <w:r w:rsidRPr="006F3118">
        <w:rPr>
          <w:rFonts w:ascii="Arial" w:eastAsia="Arial" w:hAnsi="Arial" w:cs="Arial"/>
          <w:color w:val="000000"/>
          <w:sz w:val="24"/>
          <w:szCs w:val="28"/>
        </w:rPr>
        <w:t>de las adquisiciones:</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Establece como el equipo del proyecto adquirirá bienes y servicios desde fuera de la organización.</w:t>
      </w:r>
    </w:p>
    <w:p w:rsidR="006F3118" w:rsidRPr="006F3118" w:rsidRDefault="006F3118" w:rsidP="006F3118">
      <w:pPr>
        <w:jc w:val="both"/>
        <w:rPr>
          <w:rFonts w:ascii="Arial" w:eastAsia="Arial" w:hAnsi="Arial" w:cs="Arial"/>
          <w:color w:val="000000"/>
          <w:sz w:val="24"/>
          <w:szCs w:val="28"/>
        </w:rPr>
      </w:pPr>
    </w:p>
    <w:p w:rsidR="006F3118" w:rsidRPr="006F3118" w:rsidRDefault="006F3118" w:rsidP="006F3118">
      <w:pPr>
        <w:jc w:val="both"/>
        <w:rPr>
          <w:rFonts w:ascii="Arial" w:eastAsia="Arial" w:hAnsi="Arial" w:cs="Arial"/>
          <w:color w:val="000000"/>
          <w:sz w:val="24"/>
          <w:szCs w:val="28"/>
        </w:rPr>
      </w:pPr>
      <w:r w:rsidRPr="006F3118">
        <w:rPr>
          <w:rFonts w:ascii="Arial" w:eastAsia="Arial" w:hAnsi="Arial" w:cs="Arial" w:hint="eastAsia"/>
          <w:color w:val="000000"/>
          <w:sz w:val="24"/>
          <w:szCs w:val="28"/>
        </w:rPr>
        <w:t xml:space="preserve">Plan de </w:t>
      </w:r>
      <w:r w:rsidRPr="006F3118">
        <w:rPr>
          <w:rFonts w:ascii="Arial" w:eastAsia="Arial" w:hAnsi="Arial" w:cs="Arial"/>
          <w:color w:val="000000"/>
          <w:sz w:val="24"/>
          <w:szCs w:val="28"/>
        </w:rPr>
        <w:t>gestión</w:t>
      </w:r>
      <w:r w:rsidRPr="006F3118">
        <w:rPr>
          <w:rFonts w:ascii="Arial" w:eastAsia="Arial" w:hAnsi="Arial" w:cs="Arial" w:hint="eastAsia"/>
          <w:color w:val="000000"/>
          <w:sz w:val="24"/>
          <w:szCs w:val="28"/>
        </w:rPr>
        <w:t xml:space="preserve"> </w:t>
      </w:r>
      <w:r w:rsidRPr="006F3118">
        <w:rPr>
          <w:rFonts w:ascii="Arial" w:eastAsia="Arial" w:hAnsi="Arial" w:cs="Arial"/>
          <w:color w:val="000000"/>
          <w:sz w:val="24"/>
          <w:szCs w:val="28"/>
        </w:rPr>
        <w:t>de riesgos:</w:t>
      </w:r>
    </w:p>
    <w:p w:rsidR="006F3118" w:rsidRPr="006F3118" w:rsidRDefault="006F3118" w:rsidP="006F3118">
      <w:pPr>
        <w:numPr>
          <w:ilvl w:val="0"/>
          <w:numId w:val="17"/>
        </w:numPr>
        <w:jc w:val="both"/>
        <w:rPr>
          <w:rFonts w:ascii="Arial" w:eastAsia="Arial" w:hAnsi="Arial" w:cs="Arial"/>
          <w:color w:val="000000"/>
          <w:sz w:val="24"/>
          <w:szCs w:val="28"/>
        </w:rPr>
      </w:pPr>
      <w:r w:rsidRPr="006F3118">
        <w:rPr>
          <w:rFonts w:ascii="Arial" w:eastAsia="Arial" w:hAnsi="Arial" w:cs="Arial"/>
          <w:color w:val="000000"/>
          <w:sz w:val="24"/>
          <w:szCs w:val="28"/>
        </w:rPr>
        <w:t>Establece el modo en que se estructuraran y se llevaran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 xml:space="preserve">Durante el proceso de gestión de configuración se utilizará la herramienta GIT para el control de versiones del producto. Cuando algún miembro haga una modificación en el proyecto deberá tomar en cuenta la </w:t>
      </w:r>
      <w:r w:rsidR="0095277A">
        <w:rPr>
          <w:rFonts w:ascii="Arial" w:eastAsia="Arial" w:hAnsi="Arial" w:cs="Arial"/>
          <w:color w:val="000000"/>
          <w:sz w:val="24"/>
          <w:szCs w:val="28"/>
        </w:rPr>
        <w:t>última</w:t>
      </w:r>
      <w:r>
        <w:rPr>
          <w:rFonts w:ascii="Arial" w:eastAsia="Arial" w:hAnsi="Arial" w:cs="Arial"/>
          <w:color w:val="000000"/>
          <w:sz w:val="24"/>
          <w:szCs w:val="28"/>
        </w:rPr>
        <w:t xml:space="preserve"> versión de este y proceder a actualizar su “ram</w:t>
      </w:r>
      <w:r w:rsidR="00E167CF">
        <w:rPr>
          <w:rFonts w:ascii="Arial" w:eastAsia="Arial" w:hAnsi="Arial" w:cs="Arial"/>
          <w:color w:val="000000"/>
          <w:sz w:val="24"/>
          <w:szCs w:val="28"/>
        </w:rPr>
        <w:t>a”. Posteriormente se “fusionará</w:t>
      </w:r>
      <w:r>
        <w:rPr>
          <w:rFonts w:ascii="Arial" w:eastAsia="Arial" w:hAnsi="Arial" w:cs="Arial"/>
          <w:color w:val="000000"/>
          <w:sz w:val="24"/>
          <w:szCs w:val="28"/>
        </w:rPr>
        <w:t>n” los contenidos para crear la última versión actualizada del documento.</w:t>
      </w:r>
    </w:p>
    <w:p w:rsidR="00DD559F" w:rsidRDefault="00DD559F">
      <w:pPr>
        <w:rPr>
          <w:rFonts w:ascii="Arial" w:eastAsia="Arial" w:hAnsi="Arial" w:cs="Arial"/>
          <w:color w:val="000000"/>
          <w:sz w:val="24"/>
          <w:szCs w:val="28"/>
        </w:rPr>
      </w:pPr>
    </w:p>
    <w:p w:rsidR="00DD559F" w:rsidRDefault="00DD559F">
      <w:pPr>
        <w:rPr>
          <w:rFonts w:ascii="Arial" w:eastAsia="Arial" w:hAnsi="Arial" w:cs="Arial"/>
          <w:color w:val="000000"/>
          <w:sz w:val="24"/>
          <w:szCs w:val="28"/>
        </w:rPr>
      </w:pPr>
      <w:r>
        <w:rPr>
          <w:rFonts w:ascii="Arial" w:eastAsia="Arial" w:hAnsi="Arial" w:cs="Arial"/>
          <w:color w:val="000000"/>
          <w:sz w:val="24"/>
          <w:szCs w:val="28"/>
        </w:rPr>
        <w:t xml:space="preserve">Dentro de las opciones como plataformas y/o repositorios tuvimos </w:t>
      </w:r>
      <w:proofErr w:type="spellStart"/>
      <w:r>
        <w:rPr>
          <w:rFonts w:ascii="Arial" w:eastAsia="Arial" w:hAnsi="Arial" w:cs="Arial"/>
          <w:color w:val="000000"/>
          <w:sz w:val="24"/>
          <w:szCs w:val="28"/>
        </w:rPr>
        <w:t>GitLab</w:t>
      </w:r>
      <w:proofErr w:type="spellEnd"/>
      <w:r>
        <w:rPr>
          <w:rFonts w:ascii="Arial" w:eastAsia="Arial" w:hAnsi="Arial" w:cs="Arial"/>
          <w:color w:val="000000"/>
          <w:sz w:val="24"/>
          <w:szCs w:val="28"/>
        </w:rPr>
        <w:t xml:space="preserve">, </w:t>
      </w:r>
      <w:proofErr w:type="spellStart"/>
      <w:r>
        <w:rPr>
          <w:rFonts w:ascii="Arial" w:eastAsia="Arial" w:hAnsi="Arial" w:cs="Arial"/>
          <w:color w:val="000000"/>
          <w:sz w:val="24"/>
          <w:szCs w:val="28"/>
        </w:rPr>
        <w:t>GitHub</w:t>
      </w:r>
      <w:proofErr w:type="spellEnd"/>
      <w:r>
        <w:rPr>
          <w:rFonts w:ascii="Arial" w:eastAsia="Arial" w:hAnsi="Arial" w:cs="Arial"/>
          <w:color w:val="000000"/>
          <w:sz w:val="24"/>
          <w:szCs w:val="28"/>
        </w:rPr>
        <w:t xml:space="preserve"> y </w:t>
      </w:r>
      <w:proofErr w:type="spellStart"/>
      <w:r>
        <w:rPr>
          <w:rFonts w:ascii="Arial" w:eastAsia="Arial" w:hAnsi="Arial" w:cs="Arial"/>
          <w:color w:val="000000"/>
          <w:sz w:val="24"/>
          <w:szCs w:val="28"/>
        </w:rPr>
        <w:t>GogleCode</w:t>
      </w:r>
      <w:proofErr w:type="spellEnd"/>
      <w:r>
        <w:rPr>
          <w:rFonts w:ascii="Arial" w:eastAsia="Arial" w:hAnsi="Arial" w:cs="Arial"/>
          <w:color w:val="000000"/>
          <w:sz w:val="24"/>
          <w:szCs w:val="28"/>
        </w:rPr>
        <w:t xml:space="preserve">, pero por </w:t>
      </w:r>
      <w:r w:rsidR="00B21B99">
        <w:rPr>
          <w:rFonts w:ascii="Arial" w:eastAsia="Arial" w:hAnsi="Arial" w:cs="Arial"/>
          <w:color w:val="000000"/>
          <w:sz w:val="24"/>
          <w:szCs w:val="28"/>
        </w:rPr>
        <w:t>la</w:t>
      </w:r>
      <w:r>
        <w:rPr>
          <w:rFonts w:ascii="Arial" w:eastAsia="Arial" w:hAnsi="Arial" w:cs="Arial"/>
          <w:color w:val="000000"/>
          <w:sz w:val="24"/>
          <w:szCs w:val="28"/>
        </w:rPr>
        <w:t xml:space="preserve"> facilidad en la relación que tiene la organización nos decidimos por usar </w:t>
      </w:r>
      <w:proofErr w:type="spellStart"/>
      <w:r>
        <w:rPr>
          <w:rFonts w:ascii="Arial" w:eastAsia="Arial" w:hAnsi="Arial" w:cs="Arial"/>
          <w:color w:val="000000"/>
          <w:sz w:val="24"/>
          <w:szCs w:val="28"/>
        </w:rPr>
        <w:t>GitHub</w:t>
      </w:r>
      <w:proofErr w:type="spellEnd"/>
      <w:r>
        <w:rPr>
          <w:rFonts w:ascii="Arial" w:eastAsia="Arial" w:hAnsi="Arial" w:cs="Arial"/>
          <w:color w:val="000000"/>
          <w:sz w:val="24"/>
          <w:szCs w:val="28"/>
        </w:rPr>
        <w:t xml:space="preserve"> con el fin de lograr un mejor control, y sobre todo comunicación, la cual utilizaremos </w:t>
      </w:r>
      <w:r w:rsidR="00B21B99">
        <w:rPr>
          <w:rFonts w:ascii="Arial" w:eastAsia="Arial" w:hAnsi="Arial" w:cs="Arial"/>
          <w:color w:val="000000"/>
          <w:sz w:val="24"/>
          <w:szCs w:val="28"/>
        </w:rPr>
        <w:t xml:space="preserve">como </w:t>
      </w:r>
      <w:r>
        <w:rPr>
          <w:rFonts w:ascii="Arial" w:eastAsia="Arial" w:hAnsi="Arial" w:cs="Arial"/>
          <w:color w:val="000000"/>
          <w:sz w:val="24"/>
          <w:szCs w:val="28"/>
        </w:rPr>
        <w:t xml:space="preserve">repositorio general para albergar </w:t>
      </w:r>
      <w:r w:rsidR="00CF3218">
        <w:rPr>
          <w:rFonts w:ascii="Arial" w:eastAsia="Arial" w:hAnsi="Arial" w:cs="Arial"/>
          <w:color w:val="000000"/>
          <w:sz w:val="24"/>
          <w:szCs w:val="28"/>
        </w:rPr>
        <w:t xml:space="preserve">el desarrollo de la gestión de </w:t>
      </w:r>
      <w:r w:rsidR="000B2103">
        <w:rPr>
          <w:rFonts w:ascii="Arial" w:eastAsia="Arial" w:hAnsi="Arial" w:cs="Arial"/>
          <w:color w:val="000000"/>
          <w:sz w:val="24"/>
          <w:szCs w:val="28"/>
        </w:rPr>
        <w:t>configuración</w:t>
      </w:r>
      <w:r>
        <w:rPr>
          <w:rFonts w:ascii="Arial" w:eastAsia="Arial" w:hAnsi="Arial" w:cs="Arial"/>
          <w:color w:val="000000"/>
          <w:sz w:val="24"/>
          <w:szCs w:val="28"/>
        </w:rPr>
        <w:t>.</w:t>
      </w:r>
    </w:p>
    <w:p w:rsidR="009B21ED" w:rsidRDefault="009B21ED">
      <w:pPr>
        <w:rPr>
          <w:rFonts w:ascii="Arial" w:eastAsia="Arial" w:hAnsi="Arial" w:cs="Arial"/>
          <w:color w:val="000000"/>
          <w:sz w:val="24"/>
          <w:szCs w:val="28"/>
        </w:rPr>
      </w:pPr>
    </w:p>
    <w:p w:rsidR="009B21ED" w:rsidRDefault="009B21ED">
      <w:pPr>
        <w:rPr>
          <w:rFonts w:ascii="Arial" w:eastAsia="Arial" w:hAnsi="Arial" w:cs="Arial"/>
          <w:color w:val="000000"/>
          <w:sz w:val="24"/>
          <w:szCs w:val="28"/>
        </w:rPr>
      </w:pPr>
      <w:r>
        <w:rPr>
          <w:rFonts w:ascii="Arial" w:eastAsia="Arial" w:hAnsi="Arial" w:cs="Arial"/>
          <w:color w:val="000000"/>
          <w:sz w:val="24"/>
          <w:szCs w:val="28"/>
        </w:rPr>
        <w:t>Por motivos de seguridad se tomará el ser</w:t>
      </w:r>
      <w:r w:rsidR="00E167CF">
        <w:rPr>
          <w:rFonts w:ascii="Arial" w:eastAsia="Arial" w:hAnsi="Arial" w:cs="Arial"/>
          <w:color w:val="000000"/>
          <w:sz w:val="24"/>
          <w:szCs w:val="28"/>
        </w:rPr>
        <w:t>vicio privado, por lo que incluimos</w:t>
      </w:r>
      <w:r>
        <w:rPr>
          <w:rFonts w:ascii="Arial" w:eastAsia="Arial" w:hAnsi="Arial" w:cs="Arial"/>
          <w:color w:val="000000"/>
          <w:sz w:val="24"/>
          <w:szCs w:val="28"/>
        </w:rPr>
        <w:t xml:space="preserve"> los costos a continuación:</w:t>
      </w:r>
    </w:p>
    <w:p w:rsidR="009B21ED" w:rsidRDefault="009B21ED">
      <w:pPr>
        <w:rPr>
          <w:rFonts w:ascii="Arial" w:eastAsia="Arial" w:hAnsi="Arial" w:cs="Arial"/>
          <w:color w:val="000000"/>
          <w:sz w:val="24"/>
          <w:szCs w:val="28"/>
        </w:rPr>
      </w:pPr>
    </w:p>
    <w:p w:rsidR="009B21ED" w:rsidRDefault="009B21ED" w:rsidP="009B21ED">
      <w:pPr>
        <w:jc w:val="center"/>
        <w:rPr>
          <w:rFonts w:ascii="Arial" w:eastAsia="Arial" w:hAnsi="Arial" w:cs="Arial"/>
          <w:color w:val="000000"/>
          <w:sz w:val="24"/>
          <w:szCs w:val="28"/>
        </w:rPr>
      </w:pPr>
      <w:r>
        <w:rPr>
          <w:noProof/>
          <w:lang w:val="en-US" w:eastAsia="zh-CN"/>
        </w:rPr>
        <w:drawing>
          <wp:inline distT="0" distB="0" distL="0" distR="0" wp14:anchorId="445695AC" wp14:editId="4CA88B5D">
            <wp:extent cx="5924550" cy="38909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953161" cy="3909779"/>
                    </a:xfrm>
                    <a:prstGeom prst="rect">
                      <a:avLst/>
                    </a:prstGeom>
                    <a:ln>
                      <a:noFill/>
                    </a:ln>
                    <a:extLst>
                      <a:ext uri="{53640926-AAD7-44D8-BBD7-CCE9431645EC}">
                        <a14:shadowObscured xmlns:a14="http://schemas.microsoft.com/office/drawing/2010/main"/>
                      </a:ext>
                    </a:extLst>
                  </pic:spPr>
                </pic:pic>
              </a:graphicData>
            </a:graphic>
          </wp:inline>
        </w:drawing>
      </w:r>
    </w:p>
    <w:p w:rsidR="009B21ED" w:rsidRDefault="009B21ED" w:rsidP="009B21ED">
      <w:pPr>
        <w:rPr>
          <w:rFonts w:ascii="Arial" w:eastAsia="Arial" w:hAnsi="Arial" w:cs="Arial"/>
          <w:color w:val="000000"/>
          <w:sz w:val="24"/>
          <w:szCs w:val="28"/>
        </w:rPr>
      </w:pPr>
      <w:r>
        <w:rPr>
          <w:rFonts w:ascii="Arial" w:eastAsia="Arial" w:hAnsi="Arial" w:cs="Arial"/>
          <w:color w:val="000000"/>
          <w:sz w:val="24"/>
          <w:szCs w:val="28"/>
        </w:rPr>
        <w:t xml:space="preserve">Del cual, </w:t>
      </w:r>
      <w:r w:rsidR="00E167CF">
        <w:rPr>
          <w:rFonts w:ascii="Arial" w:eastAsia="Arial" w:hAnsi="Arial" w:cs="Arial"/>
          <w:color w:val="000000"/>
          <w:sz w:val="24"/>
          <w:szCs w:val="28"/>
        </w:rPr>
        <w:t>se propone el uso de Business Cloud dado al tamaño de la consultora</w:t>
      </w:r>
      <w:r>
        <w:rPr>
          <w:rFonts w:ascii="Arial" w:eastAsia="Arial" w:hAnsi="Arial" w:cs="Arial"/>
          <w:color w:val="000000"/>
          <w:sz w:val="24"/>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tbl>
      <w:tblPr>
        <w:tblW w:w="8788" w:type="dxa"/>
        <w:tblInd w:w="534" w:type="dxa"/>
        <w:tblLook w:val="04A0" w:firstRow="1" w:lastRow="0" w:firstColumn="1" w:lastColumn="0" w:noHBand="0" w:noVBand="1"/>
      </w:tblPr>
      <w:tblGrid>
        <w:gridCol w:w="5545"/>
        <w:gridCol w:w="1728"/>
        <w:gridCol w:w="1515"/>
      </w:tblGrid>
      <w:tr w:rsidR="006E3B96" w:rsidRPr="006E3B96" w:rsidTr="006E3B9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bottom"/>
            <w:hideMark/>
          </w:tcPr>
          <w:p w:rsidR="006E3B96" w:rsidRPr="006F3118" w:rsidRDefault="006E3B96" w:rsidP="006E3B96">
            <w:pPr>
              <w:widowControl/>
              <w:jc w:val="center"/>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bottom"/>
            <w:hideMark/>
          </w:tcPr>
          <w:p w:rsidR="006E3B96" w:rsidRPr="006E3B96" w:rsidRDefault="006E3B96" w:rsidP="006E3B96">
            <w:pPr>
              <w:widowControl/>
              <w:jc w:val="center"/>
              <w:rPr>
                <w:rFonts w:ascii="Calibri" w:eastAsia="Times New Roman" w:hAnsi="Calibri"/>
                <w:color w:val="000000"/>
                <w:sz w:val="22"/>
                <w:szCs w:val="22"/>
                <w:lang w:val="en-US" w:eastAsia="en-US"/>
              </w:rPr>
            </w:pPr>
            <w:proofErr w:type="spellStart"/>
            <w:r w:rsidRPr="006E3B96">
              <w:rPr>
                <w:rFonts w:ascii="Calibri" w:eastAsia="Times New Roman" w:hAnsi="Calibri"/>
                <w:color w:val="000000"/>
                <w:sz w:val="22"/>
                <w:szCs w:val="22"/>
                <w:lang w:val="en-US" w:eastAsia="en-US"/>
              </w:rPr>
              <w:t>Rol</w:t>
            </w:r>
            <w:proofErr w:type="spellEnd"/>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xml:space="preserve">1. </w:t>
            </w:r>
            <w:proofErr w:type="spellStart"/>
            <w:r w:rsidRPr="006E3B96">
              <w:rPr>
                <w:rFonts w:ascii="Calibri" w:eastAsia="Times New Roman" w:hAnsi="Calibri"/>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1.1 Identificar la problemática de la </w:t>
            </w:r>
            <w:proofErr w:type="spellStart"/>
            <w:r w:rsidRPr="006E3B96">
              <w:rPr>
                <w:rFonts w:ascii="Calibri" w:eastAsia="Times New Roman" w:hAnsi="Calibri"/>
                <w:color w:val="000000"/>
                <w:sz w:val="22"/>
                <w:szCs w:val="22"/>
                <w:lang w:eastAsia="en-US"/>
              </w:rPr>
              <w:t>consultadora</w:t>
            </w:r>
            <w:proofErr w:type="spellEnd"/>
            <w:r w:rsidRPr="006E3B96">
              <w:rPr>
                <w:rFonts w:ascii="Calibri" w:eastAsia="Times New Roman" w:hAnsi="Calibri"/>
                <w:color w:val="000000"/>
                <w:sz w:val="22"/>
                <w:szCs w:val="22"/>
                <w:lang w:eastAsia="en-US"/>
              </w:rPr>
              <w:t xml:space="preserve">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6F3118" w:rsidRDefault="006E3B96" w:rsidP="006E3B96">
            <w:pPr>
              <w:widowControl/>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Gestor de configuración</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1.4 Identificar roles de la </w:t>
            </w:r>
            <w:r>
              <w:rPr>
                <w:rFonts w:ascii="Calibri" w:eastAsia="Times New Roman" w:hAnsi="Calibri"/>
                <w:color w:val="000000"/>
                <w:sz w:val="22"/>
                <w:szCs w:val="22"/>
                <w:lang w:eastAsia="en-US"/>
              </w:rPr>
              <w:t>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F3118" w:rsidRDefault="006E3B96" w:rsidP="006E3B96">
            <w:pPr>
              <w:widowControl/>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F3118" w:rsidRDefault="006E3B96" w:rsidP="006E3B96">
            <w:pPr>
              <w:widowControl/>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F3118" w:rsidRDefault="006E3B96" w:rsidP="006E3B96">
            <w:pPr>
              <w:widowControl/>
              <w:jc w:val="center"/>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F3118" w:rsidRDefault="006E3B96" w:rsidP="006E3B96">
            <w:pPr>
              <w:widowControl/>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 </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6E3B96" w:rsidRDefault="006E3B96" w:rsidP="006E3B96">
            <w:pPr>
              <w:widowControl/>
              <w:rPr>
                <w:rFonts w:ascii="Calibri" w:eastAsia="Times New Roman" w:hAnsi="Calibri"/>
                <w:color w:val="000000"/>
                <w:sz w:val="22"/>
                <w:szCs w:val="22"/>
                <w:lang w:val="en-US" w:eastAsia="en-US"/>
              </w:rPr>
            </w:pPr>
            <w:r w:rsidRPr="006F3118">
              <w:rPr>
                <w:rFonts w:ascii="Calibri" w:eastAsia="Times New Roman" w:hAnsi="Calibri"/>
                <w:color w:val="000000"/>
                <w:sz w:val="22"/>
                <w:szCs w:val="22"/>
                <w:lang w:eastAsia="en-US"/>
              </w:rPr>
              <w:t xml:space="preserve">    </w:t>
            </w:r>
            <w:r w:rsidRPr="006E3B96">
              <w:rPr>
                <w:rFonts w:ascii="Calibri" w:eastAsia="Times New Roman" w:hAnsi="Calibri"/>
                <w:color w:val="000000"/>
                <w:sz w:val="22"/>
                <w:szCs w:val="22"/>
                <w:lang w:val="en-US" w:eastAsia="en-US"/>
              </w:rPr>
              <w:t xml:space="preserve">2.1 </w:t>
            </w:r>
            <w:proofErr w:type="spellStart"/>
            <w:r w:rsidRPr="006E3B96">
              <w:rPr>
                <w:rFonts w:ascii="Calibri" w:eastAsia="Times New Roman" w:hAnsi="Calibri"/>
                <w:color w:val="000000"/>
                <w:sz w:val="22"/>
                <w:szCs w:val="22"/>
                <w:lang w:val="en-US" w:eastAsia="en-US"/>
              </w:rPr>
              <w:t>Identificar</w:t>
            </w:r>
            <w:proofErr w:type="spellEnd"/>
            <w:r w:rsidRPr="006E3B96">
              <w:rPr>
                <w:rFonts w:ascii="Calibri" w:eastAsia="Times New Roman" w:hAnsi="Calibri"/>
                <w:color w:val="000000"/>
                <w:sz w:val="22"/>
                <w:szCs w:val="22"/>
                <w:lang w:val="en-US" w:eastAsia="en-US"/>
              </w:rPr>
              <w:t xml:space="preserve"> </w:t>
            </w:r>
            <w:proofErr w:type="spellStart"/>
            <w:r w:rsidRPr="006E3B96">
              <w:rPr>
                <w:rFonts w:ascii="Calibri" w:eastAsia="Times New Roman" w:hAnsi="Calibri"/>
                <w:color w:val="000000"/>
                <w:sz w:val="22"/>
                <w:szCs w:val="22"/>
                <w:lang w:val="en-US" w:eastAsia="en-US"/>
              </w:rPr>
              <w:t>los</w:t>
            </w:r>
            <w:proofErr w:type="spellEnd"/>
            <w:r w:rsidRPr="006E3B96">
              <w:rPr>
                <w:rFonts w:ascii="Calibri" w:eastAsia="Times New Roman" w:hAnsi="Calibri"/>
                <w:color w:val="000000"/>
                <w:sz w:val="22"/>
                <w:szCs w:val="22"/>
                <w:lang w:val="en-US" w:eastAsia="en-US"/>
              </w:rPr>
              <w:t xml:space="preserve"> </w:t>
            </w:r>
            <w:proofErr w:type="spellStart"/>
            <w:r w:rsidRPr="006E3B96">
              <w:rPr>
                <w:rFonts w:ascii="Calibri" w:eastAsia="Times New Roman" w:hAnsi="Calibri"/>
                <w:color w:val="000000"/>
                <w:sz w:val="22"/>
                <w:szCs w:val="22"/>
                <w:lang w:val="en-US" w:eastAsia="en-US"/>
              </w:rPr>
              <w:t>elementos</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6F3118" w:rsidRDefault="006E3B96" w:rsidP="006E3B96">
            <w:pPr>
              <w:widowControl/>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Gestor de configuración</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2.2 Definir la nomenclatura de los elementos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6F3118" w:rsidRDefault="006E3B96" w:rsidP="006E3B96">
            <w:pPr>
              <w:widowControl/>
              <w:rPr>
                <w:rFonts w:ascii="Calibri" w:eastAsia="Times New Roman" w:hAnsi="Calibri"/>
                <w:color w:val="000000"/>
                <w:sz w:val="22"/>
                <w:szCs w:val="22"/>
                <w:lang w:eastAsia="en-US"/>
              </w:rPr>
            </w:pPr>
            <w:r w:rsidRPr="006F3118">
              <w:rPr>
                <w:rFonts w:ascii="Calibri" w:eastAsia="Times New Roman" w:hAnsi="Calibri"/>
                <w:color w:val="000000"/>
                <w:sz w:val="22"/>
                <w:szCs w:val="22"/>
                <w:lang w:eastAsia="en-US"/>
              </w:rPr>
              <w:t>Gestor de configuración</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F3118">
              <w:rPr>
                <w:rFonts w:ascii="Calibri" w:eastAsia="Times New Roman" w:hAnsi="Calibri"/>
                <w:color w:val="000000"/>
                <w:sz w:val="22"/>
                <w:szCs w:val="22"/>
                <w:lang w:eastAsia="en-US"/>
              </w:rPr>
              <w:t xml:space="preserve">    </w:t>
            </w:r>
            <w:r w:rsidRPr="006E3B96">
              <w:rPr>
                <w:rFonts w:ascii="Calibri" w:eastAsia="Times New Roman" w:hAnsi="Calibri"/>
                <w:color w:val="000000"/>
                <w:sz w:val="22"/>
                <w:szCs w:val="22"/>
                <w:lang w:val="en-US" w:eastAsia="en-US"/>
              </w:rPr>
              <w:t xml:space="preserve">2.3 </w:t>
            </w:r>
            <w:proofErr w:type="spellStart"/>
            <w:r w:rsidRPr="006E3B96">
              <w:rPr>
                <w:rFonts w:ascii="Calibri" w:eastAsia="Times New Roman" w:hAnsi="Calibri"/>
                <w:color w:val="000000"/>
                <w:sz w:val="22"/>
                <w:szCs w:val="22"/>
                <w:lang w:val="en-US" w:eastAsia="en-US"/>
              </w:rPr>
              <w:t>Clasificar</w:t>
            </w:r>
            <w:proofErr w:type="spellEnd"/>
            <w:r w:rsidRPr="006E3B96">
              <w:rPr>
                <w:rFonts w:ascii="Calibri" w:eastAsia="Times New Roman" w:hAnsi="Calibri"/>
                <w:color w:val="000000"/>
                <w:sz w:val="22"/>
                <w:szCs w:val="22"/>
                <w:lang w:val="en-US" w:eastAsia="en-US"/>
              </w:rPr>
              <w:t xml:space="preserve"> </w:t>
            </w:r>
            <w:proofErr w:type="spellStart"/>
            <w:r w:rsidRPr="006E3B96">
              <w:rPr>
                <w:rFonts w:ascii="Calibri" w:eastAsia="Times New Roman" w:hAnsi="Calibri"/>
                <w:color w:val="000000"/>
                <w:sz w:val="22"/>
                <w:szCs w:val="22"/>
                <w:lang w:val="en-US" w:eastAsia="en-US"/>
              </w:rPr>
              <w:t>los</w:t>
            </w:r>
            <w:proofErr w:type="spellEnd"/>
            <w:r w:rsidRPr="006E3B96">
              <w:rPr>
                <w:rFonts w:ascii="Calibri" w:eastAsia="Times New Roman" w:hAnsi="Calibri"/>
                <w:color w:val="000000"/>
                <w:sz w:val="22"/>
                <w:szCs w:val="22"/>
                <w:lang w:val="en-US" w:eastAsia="en-US"/>
              </w:rPr>
              <w:t xml:space="preserve"> </w:t>
            </w:r>
            <w:proofErr w:type="spellStart"/>
            <w:r w:rsidRPr="006E3B96">
              <w:rPr>
                <w:rFonts w:ascii="Calibri" w:eastAsia="Times New Roman" w:hAnsi="Calibri"/>
                <w:color w:val="000000"/>
                <w:sz w:val="22"/>
                <w:szCs w:val="22"/>
                <w:lang w:val="en-US" w:eastAsia="en-US"/>
              </w:rPr>
              <w:t>elementos</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Pr>
                <w:rFonts w:ascii="Calibri" w:eastAsia="Times New Roman" w:hAnsi="Calibri"/>
                <w:color w:val="000000"/>
                <w:sz w:val="22"/>
                <w:szCs w:val="22"/>
                <w:lang w:val="en-US" w:eastAsia="en-US"/>
              </w:rPr>
              <w:t>5. Auditoria</w:t>
            </w:r>
            <w:r w:rsidRPr="006E3B96">
              <w:rPr>
                <w:rFonts w:ascii="Calibri" w:eastAsia="Times New Roman" w:hAnsi="Calibri"/>
                <w:color w:val="000000"/>
                <w:sz w:val="22"/>
                <w:szCs w:val="22"/>
                <w:lang w:val="en-US" w:eastAsia="en-US"/>
              </w:rPr>
              <w:t xml:space="preserve">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eastAsia="en-US"/>
              </w:rPr>
            </w:pPr>
            <w:r>
              <w:rPr>
                <w:rFonts w:ascii="Calibri" w:eastAsia="Times New Roman" w:hAnsi="Calibri"/>
                <w:color w:val="000000"/>
                <w:sz w:val="22"/>
                <w:szCs w:val="22"/>
                <w:lang w:eastAsia="en-US"/>
              </w:rPr>
              <w:t>6. Entrega y Gestió</w:t>
            </w:r>
            <w:r w:rsidRPr="006E3B96">
              <w:rPr>
                <w:rFonts w:ascii="Calibri" w:eastAsia="Times New Roman" w:hAnsi="Calibri"/>
                <w:color w:val="000000"/>
                <w:sz w:val="22"/>
                <w:szCs w:val="22"/>
                <w:lang w:eastAsia="en-US"/>
              </w:rPr>
              <w:t xml:space="preserve">n de </w:t>
            </w:r>
            <w:proofErr w:type="spellStart"/>
            <w:r w:rsidRPr="006E3B96">
              <w:rPr>
                <w:rFonts w:ascii="Calibri" w:eastAsia="Times New Roman" w:hAnsi="Calibri"/>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w:t>
            </w:r>
          </w:p>
        </w:tc>
      </w:tr>
    </w:tbl>
    <w:p w:rsidR="00134934" w:rsidRPr="00134934" w:rsidRDefault="00134934" w:rsidP="00BD3002">
      <w:pPr>
        <w:widowControl/>
        <w:pBdr>
          <w:top w:val="nil"/>
          <w:left w:val="nil"/>
          <w:bottom w:val="nil"/>
          <w:right w:val="nil"/>
          <w:between w:val="nil"/>
        </w:pBdr>
        <w:spacing w:after="160" w:line="259" w:lineRule="auto"/>
        <w:contextualSpacing/>
        <w:jc w:val="center"/>
        <w:rPr>
          <w:color w:val="000000"/>
          <w:sz w:val="22"/>
          <w:szCs w:val="22"/>
        </w:rPr>
      </w:pP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DD3" w:rsidRDefault="00586DD3">
      <w:r>
        <w:separator/>
      </w:r>
    </w:p>
  </w:endnote>
  <w:endnote w:type="continuationSeparator" w:id="0">
    <w:p w:rsidR="00586DD3" w:rsidRDefault="0058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3E6202">
            <w:rPr>
              <w:noProof/>
              <w:color w:val="000000"/>
            </w:rPr>
            <w:t>5</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3E6202">
            <w:rPr>
              <w:noProof/>
              <w:color w:val="000000"/>
            </w:rPr>
            <w:t>9</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DD3" w:rsidRDefault="00586DD3">
      <w:r>
        <w:separator/>
      </w:r>
    </w:p>
  </w:footnote>
  <w:footnote w:type="continuationSeparator" w:id="0">
    <w:p w:rsidR="00586DD3" w:rsidRDefault="00586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D4650"/>
    <w:multiLevelType w:val="hybridMultilevel"/>
    <w:tmpl w:val="52BA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9"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1"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2"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0"/>
  </w:num>
  <w:num w:numId="3">
    <w:abstractNumId w:val="12"/>
  </w:num>
  <w:num w:numId="4">
    <w:abstractNumId w:val="14"/>
  </w:num>
  <w:num w:numId="5">
    <w:abstractNumId w:val="0"/>
  </w:num>
  <w:num w:numId="6">
    <w:abstractNumId w:val="11"/>
  </w:num>
  <w:num w:numId="7">
    <w:abstractNumId w:val="8"/>
  </w:num>
  <w:num w:numId="8">
    <w:abstractNumId w:val="15"/>
  </w:num>
  <w:num w:numId="9">
    <w:abstractNumId w:val="7"/>
  </w:num>
  <w:num w:numId="10">
    <w:abstractNumId w:val="3"/>
  </w:num>
  <w:num w:numId="11">
    <w:abstractNumId w:val="2"/>
  </w:num>
  <w:num w:numId="12">
    <w:abstractNumId w:val="2"/>
  </w:num>
  <w:num w:numId="13">
    <w:abstractNumId w:val="4"/>
  </w:num>
  <w:num w:numId="14">
    <w:abstractNumId w:val="13"/>
  </w:num>
  <w:num w:numId="15">
    <w:abstractNumId w:val="6"/>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B79F6"/>
    <w:rsid w:val="000613DC"/>
    <w:rsid w:val="000A6C62"/>
    <w:rsid w:val="000B05AA"/>
    <w:rsid w:val="000B2103"/>
    <w:rsid w:val="00134934"/>
    <w:rsid w:val="00147F50"/>
    <w:rsid w:val="00191E46"/>
    <w:rsid w:val="001B6D7C"/>
    <w:rsid w:val="001D4B46"/>
    <w:rsid w:val="00234E40"/>
    <w:rsid w:val="00271D7F"/>
    <w:rsid w:val="002B5560"/>
    <w:rsid w:val="002C5E2F"/>
    <w:rsid w:val="00311EAC"/>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633279"/>
    <w:rsid w:val="006358F7"/>
    <w:rsid w:val="0064703F"/>
    <w:rsid w:val="006C115A"/>
    <w:rsid w:val="006E3B96"/>
    <w:rsid w:val="006F3118"/>
    <w:rsid w:val="00702CD3"/>
    <w:rsid w:val="00714465"/>
    <w:rsid w:val="00720578"/>
    <w:rsid w:val="0072363A"/>
    <w:rsid w:val="00746D61"/>
    <w:rsid w:val="0078636E"/>
    <w:rsid w:val="0079255F"/>
    <w:rsid w:val="007937C6"/>
    <w:rsid w:val="00874A23"/>
    <w:rsid w:val="008875A2"/>
    <w:rsid w:val="00892C97"/>
    <w:rsid w:val="008C3712"/>
    <w:rsid w:val="008D5C37"/>
    <w:rsid w:val="009458A9"/>
    <w:rsid w:val="0095277A"/>
    <w:rsid w:val="00993902"/>
    <w:rsid w:val="009B21ED"/>
    <w:rsid w:val="00A42B45"/>
    <w:rsid w:val="00A67EE0"/>
    <w:rsid w:val="00A71581"/>
    <w:rsid w:val="00AB214C"/>
    <w:rsid w:val="00AB57F5"/>
    <w:rsid w:val="00AC1522"/>
    <w:rsid w:val="00AC5C1A"/>
    <w:rsid w:val="00AD5C07"/>
    <w:rsid w:val="00B07CA8"/>
    <w:rsid w:val="00B21B99"/>
    <w:rsid w:val="00B43401"/>
    <w:rsid w:val="00B7038E"/>
    <w:rsid w:val="00B71BCE"/>
    <w:rsid w:val="00BD3002"/>
    <w:rsid w:val="00C93CC1"/>
    <w:rsid w:val="00CC7EF8"/>
    <w:rsid w:val="00CF3218"/>
    <w:rsid w:val="00D044E9"/>
    <w:rsid w:val="00D41492"/>
    <w:rsid w:val="00D5071D"/>
    <w:rsid w:val="00D64121"/>
    <w:rsid w:val="00DA0E16"/>
    <w:rsid w:val="00DB28EE"/>
    <w:rsid w:val="00DD559F"/>
    <w:rsid w:val="00E167CF"/>
    <w:rsid w:val="00E57B8D"/>
    <w:rsid w:val="00E77173"/>
    <w:rsid w:val="00E8317E"/>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1325</Words>
  <Characters>7557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68</cp:revision>
  <dcterms:created xsi:type="dcterms:W3CDTF">2018-09-16T19:03:00Z</dcterms:created>
  <dcterms:modified xsi:type="dcterms:W3CDTF">2018-09-27T15:14:00Z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