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BB6B0B">
        <w:rPr>
          <w:rFonts w:ascii="Arial" w:eastAsia="Arial" w:hAnsi="Arial" w:cs="Arial"/>
          <w:b/>
          <w:sz w:val="36"/>
          <w:szCs w:val="36"/>
        </w:rPr>
        <w:t>9</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r>
              <w:t xml:space="preserve">Items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Poclin Meza Carlos Ivan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Carlos Ivan Poclin Meza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HC_UBT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SAC_PDS</w:t>
            </w: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SAC_DN</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MOF</w:t>
            </w: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w:t>
            </w:r>
            <w:r>
              <w:rPr>
                <w:rFonts w:ascii="Arial" w:hAnsi="Arial" w:cs="Arial"/>
                <w:b w:val="0"/>
                <w:color w:val="000000"/>
                <w:sz w:val="22"/>
                <w:szCs w:val="22"/>
              </w:rPr>
              <w:t>R</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PGCT</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PGRG</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SIGAP_HU</w:t>
            </w:r>
          </w:p>
        </w:tc>
        <w:tc>
          <w:tcPr>
            <w:tcW w:w="3564" w:type="dxa"/>
            <w:tcBorders>
              <w:bottom w:val="single" w:sz="4" w:space="0" w:color="auto"/>
            </w:tcBorders>
            <w:vAlign w:val="center"/>
          </w:tcPr>
          <w:p w:rsidR="009916E5" w:rsidRDefault="009916E5" w:rsidP="00BB6B0B">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SIGAP_RA</w:t>
            </w:r>
            <w:bookmarkStart w:id="2" w:name="_GoBack"/>
            <w:bookmarkEnd w:id="2"/>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892" w:rsidRDefault="007B3892">
      <w:r>
        <w:separator/>
      </w:r>
    </w:p>
  </w:endnote>
  <w:endnote w:type="continuationSeparator" w:id="0">
    <w:p w:rsidR="007B3892" w:rsidRDefault="007B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BB6B0B">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BB6B0B">
            <w:rPr>
              <w:noProof/>
              <w:color w:val="000000"/>
            </w:rPr>
            <w:t>18</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892" w:rsidRDefault="007B3892">
      <w:r>
        <w:separator/>
      </w:r>
    </w:p>
  </w:footnote>
  <w:footnote w:type="continuationSeparator" w:id="0">
    <w:p w:rsidR="007B3892" w:rsidRDefault="007B3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BB6B0B">
          <w:pPr>
            <w:jc w:val="right"/>
          </w:pPr>
          <w:r>
            <w:t xml:space="preserve">  Versión 3.9</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rsidP="00BB6B0B">
          <w:pPr>
            <w:jc w:val="right"/>
          </w:pPr>
          <w:r>
            <w:t xml:space="preserve">  Versión 3.</w:t>
          </w:r>
          <w:r w:rsidR="00BB6B0B">
            <w:t>9</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7B3892"/>
    <w:rsid w:val="00874A23"/>
    <w:rsid w:val="0088042F"/>
    <w:rsid w:val="008875A2"/>
    <w:rsid w:val="008921A2"/>
    <w:rsid w:val="00892C97"/>
    <w:rsid w:val="008B7BA7"/>
    <w:rsid w:val="008C0D7F"/>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B6B0B"/>
    <w:rsid w:val="00BD3002"/>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2755</Words>
  <Characters>15708</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101</cp:revision>
  <dcterms:created xsi:type="dcterms:W3CDTF">2018-09-16T19:03:00Z</dcterms:created>
  <dcterms:modified xsi:type="dcterms:W3CDTF">2018-10-12T14:57:00Z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1539355979</vt:lpwstr>
  </property>
  <property fmtid="{D5CDD505-2E9C-101B-9397-08002B2CF9AE}" pid="6"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7" name="_2015_ms_pID_7253431">
    <vt:lpwstr>jPE6DXo1M0MrM2h9yIoUWJDNnDIMqmoQIHoupArt0YjD81Fkn3WH91
NF7T+l2aSRH+qtAPzTJxZuEkIHMy62zRMtwfXEyj8Lu5YdBMDyYdOcKCG2lU0+YONU7Rndpd
kPx97LsS52HfK7HX946eAbT9MVmy6Ell90VQrfiAO46VCd517t1/EZ/HH9a4rJPEvkU=</vt:lpwstr>
  </property>
</Properties>
</file>