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4D4B60">
        <w:rPr>
          <w:rFonts w:ascii="Arial" w:eastAsia="Arial" w:hAnsi="Arial" w:cs="Arial"/>
          <w:b/>
          <w:sz w:val="36"/>
          <w:szCs w:val="36"/>
        </w:rPr>
        <w:t>3.0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proofErr w:type="spellStart"/>
      <w:r>
        <w:rPr>
          <w:rFonts w:ascii="Arial" w:hAnsi="Arial" w:cs="Arial"/>
          <w:color w:val="000000"/>
          <w:sz w:val="22"/>
          <w:szCs w:val="22"/>
        </w:rPr>
        <w:t>genero</w:t>
      </w:r>
      <w:proofErr w:type="spellEnd"/>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roofErr w:type="spellStart"/>
            <w:r>
              <w:rPr>
                <w:rFonts w:ascii="Arial" w:eastAsia="Arial" w:hAnsi="Arial" w:cs="Arial"/>
                <w:color w:val="000000"/>
                <w:sz w:val="24"/>
                <w:szCs w:val="28"/>
              </w:rPr>
              <w:t>Sebastian</w:t>
            </w:r>
            <w:proofErr w:type="spellEnd"/>
            <w:r>
              <w:rPr>
                <w:rFonts w:ascii="Arial" w:eastAsia="Arial" w:hAnsi="Arial" w:cs="Arial"/>
                <w:color w:val="000000"/>
                <w:sz w:val="24"/>
                <w:szCs w:val="28"/>
              </w:rPr>
              <w:t xml:space="preserve">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en relació</w:t>
      </w:r>
      <w:r>
        <w:rPr>
          <w:rFonts w:ascii="Arial" w:eastAsia="Arial" w:hAnsi="Arial" w:cs="Arial"/>
          <w:color w:val="000000"/>
          <w:sz w:val="24"/>
          <w:szCs w:val="28"/>
        </w:rPr>
        <w:t>n a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7</w:t>
      </w:r>
      <w:r w:rsidRPr="00AC1522">
        <w:rPr>
          <w:rFonts w:ascii="Arial" w:eastAsia="Arial" w:hAnsi="Arial" w:cs="Arial"/>
          <w:color w:val="000000"/>
          <w:sz w:val="24"/>
          <w:szCs w:val="28"/>
        </w:rPr>
        <w:t xml:space="preserve">.- Las relaciones entre </w:t>
      </w:r>
      <w:proofErr w:type="spellStart"/>
      <w:r w:rsidRPr="00AC1522">
        <w:rPr>
          <w:rFonts w:ascii="Arial" w:eastAsia="Arial" w:hAnsi="Arial" w:cs="Arial"/>
          <w:color w:val="000000"/>
          <w:sz w:val="24"/>
          <w:szCs w:val="28"/>
        </w:rPr>
        <w:t>CIs</w:t>
      </w:r>
      <w:proofErr w:type="spellEnd"/>
      <w:r w:rsidRPr="00AC1522">
        <w:rPr>
          <w:rFonts w:ascii="Arial" w:eastAsia="Arial" w:hAnsi="Arial" w:cs="Arial"/>
          <w:color w:val="000000"/>
          <w:sz w:val="24"/>
          <w:szCs w:val="28"/>
        </w:rPr>
        <w:t xml:space="preserve"> serán registradas con el objetivo de que dicha información </w:t>
      </w:r>
      <w:r w:rsidRPr="00AC1522">
        <w:rPr>
          <w:rFonts w:ascii="Arial" w:eastAsia="Arial" w:hAnsi="Arial" w:cs="Arial"/>
          <w:color w:val="000000"/>
          <w:sz w:val="24"/>
          <w:szCs w:val="28"/>
        </w:rPr>
        <w:lastRenderedPageBreak/>
        <w:t xml:space="preserve">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“rama”. Posteriormente se “fusionaran” los contenidos para crear la última versión actualizada del documento.</w:t>
      </w:r>
    </w:p>
    <w:p w:rsidR="00DD559F" w:rsidRDefault="00DD559F">
      <w:pPr>
        <w:rPr>
          <w:rFonts w:ascii="Arial" w:eastAsia="Arial" w:hAnsi="Arial" w:cs="Arial"/>
          <w:color w:val="000000"/>
          <w:sz w:val="24"/>
          <w:szCs w:val="28"/>
        </w:rPr>
      </w:pPr>
    </w:p>
    <w:p w:rsidR="00DD559F" w:rsidRDefault="00DD559F">
      <w:pPr>
        <w:rPr>
          <w:rFonts w:ascii="Arial" w:eastAsia="Arial" w:hAnsi="Arial" w:cs="Arial"/>
          <w:color w:val="000000"/>
          <w:sz w:val="24"/>
          <w:szCs w:val="28"/>
        </w:rPr>
      </w:pPr>
      <w:r>
        <w:rPr>
          <w:rFonts w:ascii="Arial" w:eastAsia="Arial" w:hAnsi="Arial" w:cs="Arial"/>
          <w:color w:val="000000"/>
          <w:sz w:val="24"/>
          <w:szCs w:val="28"/>
        </w:rPr>
        <w:t xml:space="preserve">Dentro de las opciones como plataformas y/o repositorios tuvimos GitLab, GitHub y GogleCode, pero por </w:t>
      </w:r>
      <w:r w:rsidR="00B21B99">
        <w:rPr>
          <w:rFonts w:ascii="Arial" w:eastAsia="Arial" w:hAnsi="Arial" w:cs="Arial"/>
          <w:color w:val="000000"/>
          <w:sz w:val="24"/>
          <w:szCs w:val="28"/>
        </w:rPr>
        <w:t>la</w:t>
      </w:r>
      <w:r>
        <w:rPr>
          <w:rFonts w:ascii="Arial" w:eastAsia="Arial" w:hAnsi="Arial" w:cs="Arial"/>
          <w:color w:val="000000"/>
          <w:sz w:val="24"/>
          <w:szCs w:val="28"/>
        </w:rPr>
        <w:t xml:space="preserve"> facilidad en la relación que tiene la organización nos decidimos por usar GitHub con el fin de lograr un mejor control, y sobre todo comunicación, la cual utilizaremos </w:t>
      </w:r>
      <w:r w:rsidR="00B21B99">
        <w:rPr>
          <w:rFonts w:ascii="Arial" w:eastAsia="Arial" w:hAnsi="Arial" w:cs="Arial"/>
          <w:color w:val="000000"/>
          <w:sz w:val="24"/>
          <w:szCs w:val="28"/>
        </w:rPr>
        <w:t xml:space="preserve">como </w:t>
      </w:r>
      <w:r>
        <w:rPr>
          <w:rFonts w:ascii="Arial" w:eastAsia="Arial" w:hAnsi="Arial" w:cs="Arial"/>
          <w:color w:val="000000"/>
          <w:sz w:val="24"/>
          <w:szCs w:val="28"/>
        </w:rPr>
        <w:t xml:space="preserve">repositorio general para albergar </w:t>
      </w:r>
      <w:r w:rsidR="00CF3218">
        <w:rPr>
          <w:rFonts w:ascii="Arial" w:eastAsia="Arial" w:hAnsi="Arial" w:cs="Arial"/>
          <w:color w:val="000000"/>
          <w:sz w:val="24"/>
          <w:szCs w:val="28"/>
        </w:rPr>
        <w:t xml:space="preserve">el desarrollo de la gestión de </w:t>
      </w:r>
      <w:r w:rsidR="000B2103">
        <w:rPr>
          <w:rFonts w:ascii="Arial" w:eastAsia="Arial" w:hAnsi="Arial" w:cs="Arial"/>
          <w:color w:val="000000"/>
          <w:sz w:val="24"/>
          <w:szCs w:val="28"/>
        </w:rPr>
        <w:t>configuración</w:t>
      </w:r>
      <w:r>
        <w:rPr>
          <w:rFonts w:ascii="Arial" w:eastAsia="Arial" w:hAnsi="Arial" w:cs="Arial"/>
          <w:color w:val="000000"/>
          <w:sz w:val="24"/>
          <w:szCs w:val="28"/>
        </w:rPr>
        <w:t>.</w:t>
      </w:r>
    </w:p>
    <w:p w:rsidR="009B21ED" w:rsidRDefault="009B21ED">
      <w:pPr>
        <w:rPr>
          <w:rFonts w:ascii="Arial" w:eastAsia="Arial" w:hAnsi="Arial" w:cs="Arial"/>
          <w:color w:val="000000"/>
          <w:sz w:val="24"/>
          <w:szCs w:val="28"/>
        </w:rPr>
      </w:pPr>
    </w:p>
    <w:p w:rsidR="009B21ED" w:rsidRDefault="009B21ED">
      <w:pPr>
        <w:rPr>
          <w:rFonts w:ascii="Arial" w:eastAsia="Arial" w:hAnsi="Arial" w:cs="Arial"/>
          <w:color w:val="000000"/>
          <w:sz w:val="24"/>
          <w:szCs w:val="28"/>
        </w:rPr>
      </w:pPr>
      <w:r>
        <w:rPr>
          <w:rFonts w:ascii="Arial" w:eastAsia="Arial" w:hAnsi="Arial" w:cs="Arial"/>
          <w:color w:val="000000"/>
          <w:sz w:val="24"/>
          <w:szCs w:val="28"/>
        </w:rPr>
        <w:t>Por motivos de seguridad se tomará el servicio privado, por lo que incluimos los costos a continuación:</w:t>
      </w:r>
    </w:p>
    <w:p w:rsidR="009B21ED" w:rsidRDefault="009B21ED">
      <w:pPr>
        <w:rPr>
          <w:rFonts w:ascii="Arial" w:eastAsia="Arial" w:hAnsi="Arial" w:cs="Arial"/>
          <w:color w:val="000000"/>
          <w:sz w:val="24"/>
          <w:szCs w:val="28"/>
        </w:rPr>
      </w:pPr>
    </w:p>
    <w:p w:rsidR="009B21ED" w:rsidRDefault="009B21ED" w:rsidP="009B21ED">
      <w:pPr>
        <w:jc w:val="center"/>
        <w:rPr>
          <w:rFonts w:ascii="Arial" w:eastAsia="Arial" w:hAnsi="Arial" w:cs="Arial"/>
          <w:color w:val="000000"/>
          <w:sz w:val="24"/>
          <w:szCs w:val="28"/>
        </w:rPr>
      </w:pPr>
      <w:r>
        <w:rPr>
          <w:noProof/>
        </w:rPr>
        <w:drawing>
          <wp:inline distT="0" distB="0" distL="0" distR="0" wp14:anchorId="445695AC" wp14:editId="4CA88B5D">
            <wp:extent cx="5924550" cy="38909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953161" cy="3909779"/>
                    </a:xfrm>
                    <a:prstGeom prst="rect">
                      <a:avLst/>
                    </a:prstGeom>
                    <a:ln>
                      <a:noFill/>
                    </a:ln>
                    <a:extLst>
                      <a:ext uri="{53640926-AAD7-44D8-BBD7-CCE9431645EC}">
                        <a14:shadowObscured xmlns:a14="http://schemas.microsoft.com/office/drawing/2010/main"/>
                      </a:ext>
                    </a:extLst>
                  </pic:spPr>
                </pic:pic>
              </a:graphicData>
            </a:graphic>
          </wp:inline>
        </w:drawing>
      </w:r>
    </w:p>
    <w:p w:rsidR="009B21ED" w:rsidRDefault="009B21ED" w:rsidP="009B21ED">
      <w:pPr>
        <w:rPr>
          <w:rFonts w:ascii="Arial" w:eastAsia="Arial" w:hAnsi="Arial" w:cs="Arial"/>
          <w:color w:val="000000"/>
          <w:sz w:val="24"/>
          <w:szCs w:val="28"/>
        </w:rPr>
      </w:pPr>
      <w:r>
        <w:rPr>
          <w:rFonts w:ascii="Arial" w:eastAsia="Arial" w:hAnsi="Arial" w:cs="Arial"/>
          <w:color w:val="000000"/>
          <w:sz w:val="24"/>
          <w:szCs w:val="28"/>
        </w:rPr>
        <w:t>Del cual, en base a lo acordado se tomara el plan Enterprise.</w:t>
      </w:r>
      <w:bookmarkStart w:id="2" w:name="_GoBack"/>
      <w:bookmarkEnd w:id="2"/>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xml:space="preserve">. </w:t>
      </w:r>
      <w:proofErr w:type="spellStart"/>
      <w:r w:rsidR="00633279">
        <w:rPr>
          <w:rFonts w:ascii="Arial" w:eastAsia="Arial" w:hAnsi="Arial" w:cs="Arial"/>
          <w:b/>
          <w:color w:val="000000"/>
          <w:sz w:val="24"/>
          <w:szCs w:val="28"/>
        </w:rPr>
        <w:t>Calentario</w:t>
      </w:r>
      <w:proofErr w:type="spellEnd"/>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A23" w:rsidRDefault="00874A23">
      <w:r>
        <w:separator/>
      </w:r>
    </w:p>
  </w:endnote>
  <w:endnote w:type="continuationSeparator" w:id="0">
    <w:p w:rsidR="00874A23" w:rsidRDefault="0087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77173">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77173">
            <w:rPr>
              <w:noProof/>
              <w:color w:val="000000"/>
            </w:rPr>
            <w:t>8</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A23" w:rsidRDefault="00874A23">
      <w:r>
        <w:separator/>
      </w:r>
    </w:p>
  </w:footnote>
  <w:footnote w:type="continuationSeparator" w:id="0">
    <w:p w:rsidR="00874A23" w:rsidRDefault="0087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5"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6"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7"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7"/>
  </w:num>
  <w:num w:numId="4">
    <w:abstractNumId w:val="8"/>
  </w:num>
  <w:num w:numId="5">
    <w:abstractNumId w:val="0"/>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0B2103"/>
    <w:rsid w:val="00134934"/>
    <w:rsid w:val="00147F50"/>
    <w:rsid w:val="00191E46"/>
    <w:rsid w:val="001B6D7C"/>
    <w:rsid w:val="00271D7F"/>
    <w:rsid w:val="002C5E2F"/>
    <w:rsid w:val="00311EAC"/>
    <w:rsid w:val="00394FBD"/>
    <w:rsid w:val="003B6CAE"/>
    <w:rsid w:val="003B79F6"/>
    <w:rsid w:val="004007D8"/>
    <w:rsid w:val="00431495"/>
    <w:rsid w:val="00484139"/>
    <w:rsid w:val="004C1586"/>
    <w:rsid w:val="004D4B60"/>
    <w:rsid w:val="004D780E"/>
    <w:rsid w:val="005132E4"/>
    <w:rsid w:val="00516EA5"/>
    <w:rsid w:val="00524409"/>
    <w:rsid w:val="005437C7"/>
    <w:rsid w:val="005A5340"/>
    <w:rsid w:val="00633279"/>
    <w:rsid w:val="006358F7"/>
    <w:rsid w:val="006C115A"/>
    <w:rsid w:val="00702CD3"/>
    <w:rsid w:val="0072363A"/>
    <w:rsid w:val="00746D61"/>
    <w:rsid w:val="0078636E"/>
    <w:rsid w:val="007937C6"/>
    <w:rsid w:val="00874A23"/>
    <w:rsid w:val="008875A2"/>
    <w:rsid w:val="008C3712"/>
    <w:rsid w:val="009458A9"/>
    <w:rsid w:val="00993902"/>
    <w:rsid w:val="009B21ED"/>
    <w:rsid w:val="00A67EE0"/>
    <w:rsid w:val="00A71581"/>
    <w:rsid w:val="00AB214C"/>
    <w:rsid w:val="00AB57F5"/>
    <w:rsid w:val="00AC1522"/>
    <w:rsid w:val="00AC5C1A"/>
    <w:rsid w:val="00AD5C07"/>
    <w:rsid w:val="00B07CA8"/>
    <w:rsid w:val="00B21B99"/>
    <w:rsid w:val="00B43401"/>
    <w:rsid w:val="00B7038E"/>
    <w:rsid w:val="00BD3002"/>
    <w:rsid w:val="00CC7EF8"/>
    <w:rsid w:val="00CF3218"/>
    <w:rsid w:val="00D044E9"/>
    <w:rsid w:val="00D41492"/>
    <w:rsid w:val="00D5071D"/>
    <w:rsid w:val="00D64121"/>
    <w:rsid w:val="00DA0E16"/>
    <w:rsid w:val="00DB28EE"/>
    <w:rsid w:val="00DD559F"/>
    <w:rsid w:val="00E57B8D"/>
    <w:rsid w:val="00E77173"/>
    <w:rsid w:val="00E8317E"/>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A03A"/>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1294</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54</cp:revision>
  <dcterms:created xsi:type="dcterms:W3CDTF">2018-09-16T19:03:00Z</dcterms:created>
  <dcterms:modified xsi:type="dcterms:W3CDTF">2018-09-23T05:04:00Z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