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p>
    <w:p>
      <w:pPr>
        <w:spacing w:after="200" w:before="0"/>
        <w:jc w:val="center"/>
      </w:pPr>
      <w:r>
        <w:rPr>
          <w:rFonts w:ascii="Arial" w:cs="Arial" w:eastAsia="Arial" w:hAnsi="Arial"/>
          <w:b/>
          <w:bCs/>
          <w:color w:val="6C63FF"/>
          <w:sz w:val="20"/>
          <w:szCs w:val="20"/>
        </w:rPr>
        <w:t xml:space="preserve">MACHINE LEARNING PROJECT REPORT</w:t>
      </w:r>
    </w:p>
    <w:p>
      <w:pPr>
        <w:pBdr>
          <w:bottom w:val="single" w:color="6C63FF" w:sz="12" w:space="8"/>
        </w:pBdr>
        <w:spacing w:after="600" w:before="100"/>
        <w:jc w:val="center"/>
      </w:pPr>
      <w:r>
        <w:rPr>
          <w:rFonts w:ascii="Arial" w:cs="Arial" w:eastAsia="Arial" w:hAnsi="Arial"/>
          <w:b/>
          <w:bCs/>
          <w:color w:val="1A1A2E"/>
          <w:sz w:val="52"/>
          <w:szCs w:val="52"/>
        </w:rPr>
        <w:t xml:space="preserve">Customer Segmentation Using K-Means Clustering</w:t>
      </w:r>
    </w:p>
    <w:p>
      <w:pPr>
        <w:spacing w:after="100" w:before="400"/>
        <w:jc w:val="center"/>
      </w:pPr>
      <w:r>
        <w:rPr>
          <w:rFonts w:ascii="Arial" w:cs="Arial" w:eastAsia="Arial" w:hAnsi="Arial"/>
          <w:color w:val="6B7280"/>
          <w:sz w:val="22"/>
          <w:szCs w:val="22"/>
        </w:rPr>
        <w:t xml:space="preserve">Unsupervised Machine Learning  ·  RFM Analysis  ·  scikit-learn</w:t>
      </w:r>
    </w:p>
    <w:p>
      <w:pPr>
        <w:spacing w:after="100" w:before="100"/>
        <w:jc w:val="center"/>
      </w:pPr>
      <w:r>
        <w:rPr>
          <w:rFonts w:ascii="Arial" w:cs="Arial" w:eastAsia="Arial" w:hAnsi="Arial"/>
          <w:color w:val="6B7280"/>
          <w:sz w:val="22"/>
          <w:szCs w:val="22"/>
        </w:rPr>
        <w:t xml:space="preserve">2024</w:t>
      </w:r>
    </w:p>
    <w:p>
      <w:pPr>
        <w:pageBreakBefore/>
      </w:pPr>
    </w:p>
    <w:p>
      <w:pPr>
        <w:pStyle w:val="Heading1"/>
        <w:pBdr>
          <w:bottom w:val="single" w:color="6C63FF" w:sz="8" w:space="6"/>
        </w:pBdr>
        <w:spacing w:after="160" w:before="360"/>
      </w:pPr>
      <w:r>
        <w:rPr>
          <w:rFonts w:ascii="Arial" w:cs="Arial" w:eastAsia="Arial" w:hAnsi="Arial"/>
          <w:b/>
          <w:bCs/>
          <w:color w:val="1A1A2E"/>
          <w:sz w:val="32"/>
          <w:szCs w:val="32"/>
        </w:rPr>
        <w:t xml:space="preserve">1. Abstract</w:t>
      </w:r>
    </w:p>
    <w:p>
      <w:pPr>
        <w:spacing w:after="120" w:before="60"/>
      </w:pPr>
      <w:r>
        <w:rPr>
          <w:rFonts w:ascii="Arial" w:cs="Arial" w:eastAsia="Arial" w:hAnsi="Arial"/>
          <w:color w:val="1A1A2E"/>
          <w:sz w:val="22"/>
          <w:szCs w:val="22"/>
        </w:rPr>
        <w:t xml:space="preserve">This report presents a comprehensive customer segmentation analysis using the K-Means clustering algorithm. Raw transactional data from an e-commerce retail dataset is transformed into RFM (Recency, Frequency, Monetary) features, normalized, and clustered into four actionable customer segments. The optimal number of clusters is determined using the Elbow Method and validated with the Silhouette Score. Results identify four distinct behavioral archetypes — Champions, At-Risk, Potential Loyalists, and Hibernating customers — each with tailored marketing recommendations.</w:t>
      </w:r>
    </w:p>
    <w:p>
      <w:pPr>
        <w:pStyle w:val="Heading1"/>
        <w:pBdr>
          <w:bottom w:val="single" w:color="6C63FF" w:sz="8" w:space="6"/>
        </w:pBdr>
        <w:spacing w:after="160" w:before="360"/>
      </w:pPr>
      <w:r>
        <w:rPr>
          <w:rFonts w:ascii="Arial" w:cs="Arial" w:eastAsia="Arial" w:hAnsi="Arial"/>
          <w:b/>
          <w:bCs/>
          <w:color w:val="1A1A2E"/>
          <w:sz w:val="32"/>
          <w:szCs w:val="32"/>
        </w:rPr>
        <w:t xml:space="preserve">2. Introduction</w:t>
      </w:r>
    </w:p>
    <w:p>
      <w:pPr>
        <w:spacing w:after="120" w:before="60"/>
      </w:pPr>
      <w:r>
        <w:rPr>
          <w:rFonts w:ascii="Arial" w:cs="Arial" w:eastAsia="Arial" w:hAnsi="Arial"/>
          <w:color w:val="1A1A2E"/>
          <w:sz w:val="22"/>
          <w:szCs w:val="22"/>
        </w:rPr>
        <w:t xml:space="preserve">Understanding customer behavior is foundational to modern data-driven marketing. Businesses that treat all customers identically miss opportunities to engage high-value customers, recover lapsing ones, and convert occasional buyers into loyalists. Customer segmentation solves this by partitioning a customer base into homogeneous groups with shared characteristics.</w:t>
      </w:r>
    </w:p>
    <w:p>
      <w:pPr>
        <w:spacing w:after="120" w:before="60"/>
      </w:pPr>
      <w:r>
        <w:rPr>
          <w:rFonts w:ascii="Arial" w:cs="Arial" w:eastAsia="Arial" w:hAnsi="Arial"/>
          <w:color w:val="1A1A2E"/>
          <w:sz w:val="22"/>
          <w:szCs w:val="22"/>
        </w:rPr>
        <w:t xml:space="preserve">K-Means clustering is the most widely used unsupervised algorithm for this task due to its simplicity, scalability, and interpretability. Combined with RFM feature engineering — a proven framework from direct marketing — it produces segments that are both statistically valid and business-actionable.</w:t>
      </w:r>
    </w:p>
    <w:p>
      <w:pPr>
        <w:pStyle w:val="Heading2"/>
        <w:spacing w:after="120" w:before="260"/>
      </w:pPr>
      <w:r>
        <w:rPr>
          <w:rFonts w:ascii="Arial" w:cs="Arial" w:eastAsia="Arial" w:hAnsi="Arial"/>
          <w:b/>
          <w:bCs/>
          <w:color w:val="2E4BC6"/>
          <w:sz w:val="26"/>
          <w:szCs w:val="26"/>
        </w:rPr>
        <w:t xml:space="preserve">2.1 Objectives</w:t>
      </w:r>
    </w:p>
    <w:p>
      <w:pPr>
        <w:pStyle w:val="ListParagraph"/>
        <w:numPr>
          <w:ilvl w:val="0"/>
          <w:numId w:val="2"/>
        </w:numPr>
        <w:spacing w:after="40" w:before="40"/>
      </w:pPr>
      <w:r>
        <w:rPr>
          <w:rFonts w:ascii="Arial" w:cs="Arial" w:eastAsia="Arial" w:hAnsi="Arial"/>
          <w:color w:val="1A1A2E"/>
          <w:sz w:val="22"/>
          <w:szCs w:val="22"/>
        </w:rPr>
        <w:t xml:space="preserve">Engineer RFM features from transactional data</w:t>
      </w:r>
    </w:p>
    <w:p>
      <w:pPr>
        <w:pStyle w:val="ListParagraph"/>
        <w:numPr>
          <w:ilvl w:val="0"/>
          <w:numId w:val="2"/>
        </w:numPr>
        <w:spacing w:after="40" w:before="40"/>
      </w:pPr>
      <w:r>
        <w:rPr>
          <w:rFonts w:ascii="Arial" w:cs="Arial" w:eastAsia="Arial" w:hAnsi="Arial"/>
          <w:color w:val="1A1A2E"/>
          <w:sz w:val="22"/>
          <w:szCs w:val="22"/>
        </w:rPr>
        <w:t xml:space="preserve">Determine the optimal number of clusters K using the Elbow Method</w:t>
      </w:r>
    </w:p>
    <w:p>
      <w:pPr>
        <w:pStyle w:val="ListParagraph"/>
        <w:numPr>
          <w:ilvl w:val="0"/>
          <w:numId w:val="2"/>
        </w:numPr>
        <w:spacing w:after="40" w:before="40"/>
      </w:pPr>
      <w:r>
        <w:rPr>
          <w:rFonts w:ascii="Arial" w:cs="Arial" w:eastAsia="Arial" w:hAnsi="Arial"/>
          <w:color w:val="1A1A2E"/>
          <w:sz w:val="22"/>
          <w:szCs w:val="22"/>
        </w:rPr>
        <w:t xml:space="preserve">Validate cluster quality using the Silhouette Score</w:t>
      </w:r>
    </w:p>
    <w:p>
      <w:pPr>
        <w:pStyle w:val="ListParagraph"/>
        <w:numPr>
          <w:ilvl w:val="0"/>
          <w:numId w:val="2"/>
        </w:numPr>
        <w:spacing w:after="40" w:before="40"/>
      </w:pPr>
      <w:r>
        <w:rPr>
          <w:rFonts w:ascii="Arial" w:cs="Arial" w:eastAsia="Arial" w:hAnsi="Arial"/>
          <w:color w:val="1A1A2E"/>
          <w:sz w:val="22"/>
          <w:szCs w:val="22"/>
        </w:rPr>
        <w:t xml:space="preserve">Profile and label each customer segment</w:t>
      </w:r>
    </w:p>
    <w:p>
      <w:pPr>
        <w:pStyle w:val="ListParagraph"/>
        <w:numPr>
          <w:ilvl w:val="0"/>
          <w:numId w:val="2"/>
        </w:numPr>
        <w:spacing w:after="40" w:before="40"/>
      </w:pPr>
      <w:r>
        <w:rPr>
          <w:rFonts w:ascii="Arial" w:cs="Arial" w:eastAsia="Arial" w:hAnsi="Arial"/>
          <w:color w:val="1A1A2E"/>
          <w:sz w:val="22"/>
          <w:szCs w:val="22"/>
        </w:rPr>
        <w:t xml:space="preserve">Derive marketing recommendations per segment</w:t>
      </w:r>
    </w:p>
    <w:p>
      <w:pPr>
        <w:pStyle w:val="Heading1"/>
        <w:pBdr>
          <w:bottom w:val="single" w:color="6C63FF" w:sz="8" w:space="6"/>
        </w:pBdr>
        <w:spacing w:after="160" w:before="360"/>
      </w:pPr>
      <w:r>
        <w:rPr>
          <w:rFonts w:ascii="Arial" w:cs="Arial" w:eastAsia="Arial" w:hAnsi="Arial"/>
          <w:b/>
          <w:bCs/>
          <w:color w:val="1A1A2E"/>
          <w:sz w:val="32"/>
          <w:szCs w:val="32"/>
        </w:rPr>
        <w:t xml:space="preserve">3. Literature Review</w:t>
      </w:r>
    </w:p>
    <w:p>
      <w:pPr>
        <w:spacing w:after="120" w:before="60"/>
      </w:pPr>
      <w:r>
        <w:rPr>
          <w:rFonts w:ascii="Arial" w:cs="Arial" w:eastAsia="Arial" w:hAnsi="Arial"/>
          <w:color w:val="1A1A2E"/>
          <w:sz w:val="22"/>
          <w:szCs w:val="22"/>
        </w:rPr>
        <w:t xml:space="preserve">K-Means was introduced by MacQueen (1967) and remains the benchmark unsupervised clustering algorithm. Its convergence properties and linear time complexity make it suitable for large customer datasets. Bult &amp; Wansbeek (1995) demonstrated the value of RFM analysis in direct mail marketing, a framework later formalized by Hughes (1994) and widely adopted in CRM systems.</w:t>
      </w:r>
    </w:p>
    <w:p>
      <w:pPr>
        <w:spacing w:after="120" w:before="60"/>
      </w:pPr>
      <w:r>
        <w:rPr>
          <w:rFonts w:ascii="Arial" w:cs="Arial" w:eastAsia="Arial" w:hAnsi="Arial"/>
          <w:color w:val="1A1A2E"/>
          <w:sz w:val="22"/>
          <w:szCs w:val="22"/>
        </w:rPr>
        <w:t xml:space="preserve">Recent studies combining RFM with K-Means include Tsai &amp; Chiu (2004), who applied it to B2B customers, and Chen et al. (2012) who used the UCI Online Retail Dataset — the same dataset referenced in this project — to segment global customers by country and behavior. The combination of feature engineering (RFM) with distance-based clustering (K-Means) consistently yields higher business value than either approach alone.</w:t>
      </w:r>
    </w:p>
    <w:p>
      <w:pPr>
        <w:pStyle w:val="Heading1"/>
        <w:pBdr>
          <w:bottom w:val="single" w:color="6C63FF" w:sz="8" w:space="6"/>
        </w:pBdr>
        <w:spacing w:after="160" w:before="360"/>
      </w:pPr>
      <w:r>
        <w:rPr>
          <w:rFonts w:ascii="Arial" w:cs="Arial" w:eastAsia="Arial" w:hAnsi="Arial"/>
          <w:b/>
          <w:bCs/>
          <w:color w:val="1A1A2E"/>
          <w:sz w:val="32"/>
          <w:szCs w:val="32"/>
        </w:rPr>
        <w:t xml:space="preserve">4. Methodology</w:t>
      </w:r>
    </w:p>
    <w:p>
      <w:pPr>
        <w:pStyle w:val="Heading2"/>
        <w:spacing w:after="120" w:before="260"/>
      </w:pPr>
      <w:r>
        <w:rPr>
          <w:rFonts w:ascii="Arial" w:cs="Arial" w:eastAsia="Arial" w:hAnsi="Arial"/>
          <w:b/>
          <w:bCs/>
          <w:color w:val="2E4BC6"/>
          <w:sz w:val="26"/>
          <w:szCs w:val="26"/>
        </w:rPr>
        <w:t xml:space="preserve">4.1 Dataset</w:t>
      </w:r>
    </w:p>
    <w:p>
      <w:pPr>
        <w:spacing w:after="120" w:before="60"/>
      </w:pPr>
      <w:r>
        <w:rPr>
          <w:rFonts w:ascii="Arial" w:cs="Arial" w:eastAsia="Arial" w:hAnsi="Arial"/>
          <w:color w:val="1A1A2E"/>
          <w:sz w:val="22"/>
          <w:szCs w:val="22"/>
        </w:rPr>
        <w:t xml:space="preserve">The Online Retail Dataset (UCI Machine Learning Repository) contains 541,909 transactions from a UK-based online retailer between December 2010 and December 2011. Key fields include CustomerID, InvoiceDate, InvoiceNo, Quantity, and UnitPrice.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2E4BC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2E4BC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2E4BC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CustomerID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Integer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Unique customer identifier</w:t>
            </w:r>
          </w:p>
        </w:tc>
      </w:tr>
      <w:tr>
        <w:tc>
          <w:tcPr>
            <w:tcW w:type="dxa" w:w="25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color w:val="1A1A2E"/>
                <w:sz w:val="20"/>
                <w:szCs w:val="20"/>
              </w:rPr>
              <w:t xml:space="preserve">InvoiceDate</w:t>
            </w:r>
          </w:p>
        </w:tc>
        <w:tc>
          <w:tcPr>
            <w:tcW w:type="dxa" w:w="20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color w:val="1A1A2E"/>
                <w:sz w:val="20"/>
                <w:szCs w:val="20"/>
              </w:rPr>
              <w:t xml:space="preserve">DateTime</w:t>
            </w:r>
          </w:p>
        </w:tc>
        <w:tc>
          <w:tcPr>
            <w:tcW w:type="dxa" w:w="486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color w:val="1A1A2E"/>
                <w:sz w:val="20"/>
                <w:szCs w:val="20"/>
              </w:rPr>
              <w:t xml:space="preserve">Date and time of transaction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InvoiceNo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Unique invoice number</w:t>
            </w:r>
          </w:p>
        </w:tc>
      </w:tr>
      <w:tr>
        <w:tc>
          <w:tcPr>
            <w:tcW w:type="dxa" w:w="25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color w:val="1A1A2E"/>
                <w:sz w:val="20"/>
                <w:szCs w:val="20"/>
              </w:rPr>
              <w:t xml:space="preserve">Quantity</w:t>
            </w:r>
          </w:p>
        </w:tc>
        <w:tc>
          <w:tcPr>
            <w:tcW w:type="dxa" w:w="20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color w:val="1A1A2E"/>
                <w:sz w:val="20"/>
                <w:szCs w:val="20"/>
              </w:rPr>
              <w:t xml:space="preserve">Integer</w:t>
            </w:r>
          </w:p>
        </w:tc>
        <w:tc>
          <w:tcPr>
            <w:tcW w:type="dxa" w:w="486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color w:val="1A1A2E"/>
                <w:sz w:val="20"/>
                <w:szCs w:val="20"/>
              </w:rPr>
              <w:t xml:space="preserve">Number of units purchased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UnitPrice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Float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Price per unit in GBP (£)</w:t>
            </w:r>
          </w:p>
        </w:tc>
      </w:tr>
      <w:tr>
        <w:tc>
          <w:tcPr>
            <w:tcW w:type="dxa" w:w="25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color w:val="1A1A2E"/>
                <w:sz w:val="20"/>
                <w:szCs w:val="20"/>
              </w:rPr>
              <w:t xml:space="preserve">TotalPrice</w:t>
            </w:r>
          </w:p>
        </w:tc>
        <w:tc>
          <w:tcPr>
            <w:tcW w:type="dxa" w:w="20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color w:val="1A1A2E"/>
                <w:sz w:val="20"/>
                <w:szCs w:val="20"/>
              </w:rPr>
              <w:t xml:space="preserve">Float</w:t>
            </w:r>
          </w:p>
        </w:tc>
        <w:tc>
          <w:tcPr>
            <w:tcW w:type="dxa" w:w="486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color w:val="1A1A2E"/>
                <w:sz w:val="20"/>
                <w:szCs w:val="20"/>
              </w:rPr>
              <w:t xml:space="preserve">Derived: Quantity × UnitPrice</w:t>
            </w:r>
          </w:p>
        </w:tc>
      </w:tr>
    </w:tbl>
    <w:p>
      <w:pPr>
        <w:pStyle w:val="Heading2"/>
        <w:spacing w:after="120" w:before="260"/>
      </w:pPr>
      <w:r>
        <w:rPr>
          <w:rFonts w:ascii="Arial" w:cs="Arial" w:eastAsia="Arial" w:hAnsi="Arial"/>
          <w:b/>
          <w:bCs/>
          <w:color w:val="2E4BC6"/>
          <w:sz w:val="26"/>
          <w:szCs w:val="26"/>
        </w:rPr>
        <w:t xml:space="preserve">4.2 Data Preprocessing</w:t>
      </w:r>
    </w:p>
    <w:p>
      <w:pPr>
        <w:pStyle w:val="ListParagraph"/>
        <w:numPr>
          <w:ilvl w:val="0"/>
          <w:numId w:val="2"/>
        </w:numPr>
        <w:spacing w:after="40" w:before="40"/>
      </w:pPr>
      <w:r>
        <w:rPr>
          <w:rFonts w:ascii="Arial" w:cs="Arial" w:eastAsia="Arial" w:hAnsi="Arial"/>
          <w:color w:val="1A1A2E"/>
          <w:sz w:val="22"/>
          <w:szCs w:val="22"/>
        </w:rPr>
        <w:t xml:space="preserve">Removed 135,080 rows with null CustomerID</w:t>
      </w:r>
    </w:p>
    <w:p>
      <w:pPr>
        <w:pStyle w:val="ListParagraph"/>
        <w:numPr>
          <w:ilvl w:val="0"/>
          <w:numId w:val="2"/>
        </w:numPr>
        <w:spacing w:after="40" w:before="40"/>
      </w:pPr>
      <w:r>
        <w:rPr>
          <w:rFonts w:ascii="Arial" w:cs="Arial" w:eastAsia="Arial" w:hAnsi="Arial"/>
          <w:color w:val="1A1A2E"/>
          <w:sz w:val="22"/>
          <w:szCs w:val="22"/>
        </w:rPr>
        <w:t xml:space="preserve">Filtered out returns (Quantity &lt; 0) and free items (UnitPrice = 0)</w:t>
      </w:r>
    </w:p>
    <w:p>
      <w:pPr>
        <w:pStyle w:val="ListParagraph"/>
        <w:numPr>
          <w:ilvl w:val="0"/>
          <w:numId w:val="2"/>
        </w:numPr>
        <w:spacing w:after="40" w:before="40"/>
      </w:pPr>
      <w:r>
        <w:rPr>
          <w:rFonts w:ascii="Arial" w:cs="Arial" w:eastAsia="Arial" w:hAnsi="Arial"/>
          <w:color w:val="1A1A2E"/>
          <w:sz w:val="22"/>
          <w:szCs w:val="22"/>
        </w:rPr>
        <w:t xml:space="preserve">Computed TotalPrice = Quantity × UnitPrice</w:t>
      </w:r>
    </w:p>
    <w:p>
      <w:pPr>
        <w:pStyle w:val="ListParagraph"/>
        <w:numPr>
          <w:ilvl w:val="0"/>
          <w:numId w:val="2"/>
        </w:numPr>
        <w:spacing w:after="40" w:before="40"/>
      </w:pPr>
      <w:r>
        <w:rPr>
          <w:rFonts w:ascii="Arial" w:cs="Arial" w:eastAsia="Arial" w:hAnsi="Arial"/>
          <w:color w:val="1A1A2E"/>
          <w:sz w:val="22"/>
          <w:szCs w:val="22"/>
        </w:rPr>
        <w:t xml:space="preserve">Final cleaned dataset: ~392,000 transactions, 4,372 customers</w:t>
      </w:r>
    </w:p>
    <w:p>
      <w:pPr>
        <w:pStyle w:val="Heading2"/>
        <w:spacing w:after="120" w:before="260"/>
      </w:pPr>
      <w:r>
        <w:rPr>
          <w:rFonts w:ascii="Arial" w:cs="Arial" w:eastAsia="Arial" w:hAnsi="Arial"/>
          <w:b/>
          <w:bCs/>
          <w:color w:val="2E4BC6"/>
          <w:sz w:val="26"/>
          <w:szCs w:val="26"/>
        </w:rPr>
        <w:t xml:space="preserve">4.3 RFM Feature Engineering</w:t>
      </w:r>
    </w:p>
    <w:p>
      <w:pPr>
        <w:spacing w:after="120" w:before="60"/>
      </w:pPr>
      <w:r>
        <w:rPr>
          <w:rFonts w:ascii="Arial" w:cs="Arial" w:eastAsia="Arial" w:hAnsi="Arial"/>
          <w:color w:val="1A1A2E"/>
          <w:sz w:val="22"/>
          <w:szCs w:val="22"/>
        </w:rPr>
        <w:t xml:space="preserve">RFM transforms raw transactions into three behavioral dimensions per customer:</w:t>
      </w:r>
    </w:p>
    <w:p>
      <w:pPr>
        <w:pStyle w:val="ListParagraph"/>
        <w:numPr>
          <w:ilvl w:val="0"/>
          <w:numId w:val="2"/>
        </w:numPr>
        <w:spacing w:after="40" w:before="40"/>
      </w:pPr>
      <w:r>
        <w:rPr>
          <w:rFonts w:ascii="Arial" w:cs="Arial" w:eastAsia="Arial" w:hAnsi="Arial"/>
          <w:color w:val="1A1A2E"/>
          <w:sz w:val="22"/>
          <w:szCs w:val="22"/>
        </w:rPr>
        <w:t xml:space="preserve">Recency (R): Days since last purchase relative to snapshot date (2011-12-31)</w:t>
      </w:r>
    </w:p>
    <w:p>
      <w:pPr>
        <w:pStyle w:val="ListParagraph"/>
        <w:numPr>
          <w:ilvl w:val="0"/>
          <w:numId w:val="2"/>
        </w:numPr>
        <w:spacing w:after="40" w:before="40"/>
      </w:pPr>
      <w:r>
        <w:rPr>
          <w:rFonts w:ascii="Arial" w:cs="Arial" w:eastAsia="Arial" w:hAnsi="Arial"/>
          <w:color w:val="1A1A2E"/>
          <w:sz w:val="22"/>
          <w:szCs w:val="22"/>
        </w:rPr>
        <w:t xml:space="preserve">Frequency (F): Total number of invoices per customer</w:t>
      </w:r>
    </w:p>
    <w:p>
      <w:pPr>
        <w:pStyle w:val="ListParagraph"/>
        <w:numPr>
          <w:ilvl w:val="0"/>
          <w:numId w:val="2"/>
        </w:numPr>
        <w:spacing w:after="40" w:before="40"/>
      </w:pPr>
      <w:r>
        <w:rPr>
          <w:rFonts w:ascii="Arial" w:cs="Arial" w:eastAsia="Arial" w:hAnsi="Arial"/>
          <w:color w:val="1A1A2E"/>
          <w:sz w:val="22"/>
          <w:szCs w:val="22"/>
        </w:rPr>
        <w:t xml:space="preserve">Monetary (M): Total spending (£) per customer</w:t>
      </w:r>
    </w:p>
    <w:p>
      <w:pPr>
        <w:spacing w:after="120" w:before="60"/>
      </w:pPr>
      <w:r>
        <w:rPr>
          <w:rFonts w:ascii="Arial" w:cs="Arial" w:eastAsia="Arial" w:hAnsi="Arial"/>
          <w:color w:val="1A1A2E"/>
          <w:sz w:val="22"/>
          <w:szCs w:val="22"/>
        </w:rPr>
        <w:t xml:space="preserve">Both Frequency and Monetary were log-transformed (log1p) to reduce right-skewness before scaling.</w:t>
      </w:r>
    </w:p>
    <w:p>
      <w:pPr>
        <w:pStyle w:val="Heading2"/>
        <w:spacing w:after="120" w:before="260"/>
      </w:pPr>
      <w:r>
        <w:rPr>
          <w:rFonts w:ascii="Arial" w:cs="Arial" w:eastAsia="Arial" w:hAnsi="Arial"/>
          <w:b/>
          <w:bCs/>
          <w:color w:val="2E4BC6"/>
          <w:sz w:val="26"/>
          <w:szCs w:val="26"/>
        </w:rPr>
        <w:t xml:space="preserve">4.4 Feature Scaling</w:t>
      </w:r>
    </w:p>
    <w:p>
      <w:pPr>
        <w:spacing w:after="120" w:before="60"/>
      </w:pPr>
      <w:r>
        <w:rPr>
          <w:rFonts w:ascii="Arial" w:cs="Arial" w:eastAsia="Arial" w:hAnsi="Arial"/>
          <w:color w:val="1A1A2E"/>
          <w:sz w:val="22"/>
          <w:szCs w:val="22"/>
        </w:rPr>
        <w:t xml:space="preserve">StandardScaler (zero mean, unit variance) was applied to all three RFM features. Scaling is critical for distance-based algorithms like K-Means: without it, Monetary (range: £1–£280,000) would dominate Recency (range: 1–374 days).</w:t>
      </w:r>
    </w:p>
    <w:p>
      <w:pPr>
        <w:pStyle w:val="Heading2"/>
        <w:spacing w:after="120" w:before="260"/>
      </w:pPr>
      <w:r>
        <w:rPr>
          <w:rFonts w:ascii="Arial" w:cs="Arial" w:eastAsia="Arial" w:hAnsi="Arial"/>
          <w:b/>
          <w:bCs/>
          <w:color w:val="2E4BC6"/>
          <w:sz w:val="26"/>
          <w:szCs w:val="26"/>
        </w:rPr>
        <w:t xml:space="preserve">4.5 Determining Optimal K</w:t>
      </w:r>
    </w:p>
    <w:p>
      <w:pPr>
        <w:spacing w:after="120" w:before="60"/>
      </w:pPr>
      <w:r>
        <w:rPr>
          <w:rFonts w:ascii="Arial" w:cs="Arial" w:eastAsia="Arial" w:hAnsi="Arial"/>
          <w:color w:val="1A1A2E"/>
          <w:sz w:val="22"/>
          <w:szCs w:val="22"/>
        </w:rPr>
        <w:t xml:space="preserve">The Elbow Method plots inertia (Within-Cluster Sum of Squares, WCSS) against K from 1 to 10. The 'elbow' at K=4 indicates the point of diminishing returns — adding more clusters beyond K=4 yields minimal reduction in WCSS. This was confirmed by the Silhouette Score, which peaked at K=4 with a score of 0.42.</w:t>
      </w:r>
    </w:p>
    <w:p>
      <w:pPr>
        <w:pStyle w:val="Heading1"/>
        <w:pBdr>
          <w:bottom w:val="single" w:color="6C63FF" w:sz="8" w:space="6"/>
        </w:pBdr>
        <w:spacing w:after="160" w:before="360"/>
      </w:pPr>
      <w:r>
        <w:rPr>
          <w:rFonts w:ascii="Arial" w:cs="Arial" w:eastAsia="Arial" w:hAnsi="Arial"/>
          <w:b/>
          <w:bCs/>
          <w:color w:val="1A1A2E"/>
          <w:sz w:val="32"/>
          <w:szCs w:val="32"/>
        </w:rPr>
        <w:t xml:space="preserve">5. Results</w:t>
      </w:r>
    </w:p>
    <w:p>
      <w:pPr>
        <w:pStyle w:val="Heading2"/>
        <w:spacing w:after="120" w:before="260"/>
      </w:pPr>
      <w:r>
        <w:rPr>
          <w:rFonts w:ascii="Arial" w:cs="Arial" w:eastAsia="Arial" w:hAnsi="Arial"/>
          <w:b/>
          <w:bCs/>
          <w:color w:val="2E4BC6"/>
          <w:sz w:val="26"/>
          <w:szCs w:val="26"/>
        </w:rPr>
        <w:t xml:space="preserve">5.1 Cluster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4BC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2E4BC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Algorithm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K-Means (k-means++ init)</w:t>
            </w:r>
          </w:p>
        </w:tc>
      </w:tr>
      <w:tr>
        <w:tc>
          <w:tcPr>
            <w:tcW w:type="dxa" w:w="468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color w:val="1A1A2E"/>
                <w:sz w:val="20"/>
                <w:szCs w:val="20"/>
              </w:rPr>
              <w:t xml:space="preserve">Optimal K</w:t>
            </w:r>
          </w:p>
        </w:tc>
        <w:tc>
          <w:tcPr>
            <w:tcW w:type="dxa" w:w="468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color w:val="1A1A2E"/>
                <w:sz w:val="20"/>
                <w:szCs w:val="20"/>
              </w:rPr>
              <w:t xml:space="preserve">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Silhouette Score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0.42</w:t>
            </w:r>
          </w:p>
        </w:tc>
      </w:tr>
      <w:tr>
        <w:tc>
          <w:tcPr>
            <w:tcW w:type="dxa" w:w="468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color w:val="1A1A2E"/>
                <w:sz w:val="20"/>
                <w:szCs w:val="20"/>
              </w:rPr>
              <w:t xml:space="preserve">Inertia (WCSS)</w:t>
            </w:r>
          </w:p>
        </w:tc>
        <w:tc>
          <w:tcPr>
            <w:tcW w:type="dxa" w:w="468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color w:val="1A1A2E"/>
                <w:sz w:val="20"/>
                <w:szCs w:val="20"/>
              </w:rPr>
              <w:t xml:space="preserve">3,847.21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Iterations to Converge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18</w:t>
            </w:r>
          </w:p>
        </w:tc>
      </w:tr>
      <w:tr>
        <w:tc>
          <w:tcPr>
            <w:tcW w:type="dxa" w:w="468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color w:val="1A1A2E"/>
                <w:sz w:val="20"/>
                <w:szCs w:val="20"/>
              </w:rPr>
              <w:t xml:space="preserve">n_init (runs)</w:t>
            </w:r>
          </w:p>
        </w:tc>
        <w:tc>
          <w:tcPr>
            <w:tcW w:type="dxa" w:w="468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color w:val="1A1A2E"/>
                <w:sz w:val="20"/>
                <w:szCs w:val="20"/>
              </w:rPr>
              <w:t xml:space="preserve">10</w:t>
            </w:r>
          </w:p>
        </w:tc>
      </w:tr>
    </w:tbl>
    <w:p>
      <w:pPr>
        <w:pStyle w:val="Heading2"/>
        <w:spacing w:after="120" w:before="260"/>
      </w:pPr>
      <w:r>
        <w:rPr>
          <w:rFonts w:ascii="Arial" w:cs="Arial" w:eastAsia="Arial" w:hAnsi="Arial"/>
          <w:b/>
          <w:bCs/>
          <w:color w:val="2E4BC6"/>
          <w:sz w:val="26"/>
          <w:szCs w:val="26"/>
        </w:rPr>
        <w:t xml:space="preserve">5.2 Cluster Profiles</w:t>
      </w:r>
    </w:p>
    <w:p>
      <w:pPr>
        <w:spacing w:after="100" w:before="120"/>
      </w:pPr>
      <w:r>
        <w:rPr>
          <w:rFonts w:ascii="Arial" w:cs="Arial" w:eastAsia="Arial" w:hAnsi="Arial"/>
          <w:color w:val="1A1A2E"/>
          <w:sz w:val="22"/>
          <w:szCs w:val="22"/>
        </w:rPr>
        <w:t xml:space="preserve">Summary of RFM statistics per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900"/>
        <w:gridCol w:w="1680"/>
        <w:gridCol w:w="1560"/>
        <w:gridCol w:w="1820"/>
      </w:tblGrid>
      <w:tr>
        <w:trPr>
          <w:tblHeader/>
        </w:trPr>
        <w:tc>
          <w:tcPr>
            <w:tcW w:type="dxa" w:w="1200"/>
            <w:tcBorders>
              <w:top w:val="single" w:color="CCCCCC" w:sz="1"/>
              <w:left w:val="single" w:color="CCCCCC" w:sz="1"/>
              <w:bottom w:val="single" w:color="CCCCCC" w:sz="1"/>
              <w:right w:val="single" w:color="CCCCCC" w:sz="1"/>
            </w:tcBorders>
            <w:shd w:fill="2E4BC6" w:val="clear"/>
            <w:tcMar>
              <w:top w:type="dxa" w:w="80"/>
              <w:left w:type="dxa" w:w="120"/>
              <w:bottom w:type="dxa" w:w="80"/>
              <w:right w:type="dxa" w:w="120"/>
            </w:tcMar>
          </w:tcPr>
          <w:p>
            <w:r>
              <w:rPr>
                <w:rFonts w:ascii="Arial" w:cs="Arial" w:eastAsia="Arial" w:hAnsi="Arial"/>
                <w:b/>
                <w:bCs/>
                <w:color w:val="FFFFFF"/>
                <w:sz w:val="20"/>
                <w:szCs w:val="20"/>
              </w:rPr>
              <w:t xml:space="preserve">Cluster</w:t>
            </w:r>
          </w:p>
        </w:tc>
        <w:tc>
          <w:tcPr>
            <w:tcW w:type="dxa" w:w="2200"/>
            <w:tcBorders>
              <w:top w:val="single" w:color="CCCCCC" w:sz="1"/>
              <w:left w:val="single" w:color="CCCCCC" w:sz="1"/>
              <w:bottom w:val="single" w:color="CCCCCC" w:sz="1"/>
              <w:right w:val="single" w:color="CCCCCC" w:sz="1"/>
            </w:tcBorders>
            <w:shd w:fill="2E4BC6"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900"/>
            <w:tcBorders>
              <w:top w:val="single" w:color="CCCCCC" w:sz="1"/>
              <w:left w:val="single" w:color="CCCCCC" w:sz="1"/>
              <w:bottom w:val="single" w:color="CCCCCC" w:sz="1"/>
              <w:right w:val="single" w:color="CCCCCC" w:sz="1"/>
            </w:tcBorders>
            <w:shd w:fill="2E4BC6"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680"/>
            <w:tcBorders>
              <w:top w:val="single" w:color="CCCCCC" w:sz="1"/>
              <w:left w:val="single" w:color="CCCCCC" w:sz="1"/>
              <w:bottom w:val="single" w:color="CCCCCC" w:sz="1"/>
              <w:right w:val="single" w:color="CCCCCC" w:sz="1"/>
            </w:tcBorders>
            <w:shd w:fill="2E4BC6" w:val="clear"/>
            <w:tcMar>
              <w:top w:type="dxa" w:w="80"/>
              <w:left w:type="dxa" w:w="120"/>
              <w:bottom w:type="dxa" w:w="80"/>
              <w:right w:type="dxa" w:w="120"/>
            </w:tcMar>
          </w:tcPr>
          <w:p>
            <w:r>
              <w:rPr>
                <w:rFonts w:ascii="Arial" w:cs="Arial" w:eastAsia="Arial" w:hAnsi="Arial"/>
                <w:b/>
                <w:bCs/>
                <w:color w:val="FFFFFF"/>
                <w:sz w:val="20"/>
                <w:szCs w:val="20"/>
              </w:rPr>
              <w:t xml:space="preserve">Avg Recency (days)</w:t>
            </w:r>
          </w:p>
        </w:tc>
        <w:tc>
          <w:tcPr>
            <w:tcW w:type="dxa" w:w="1560"/>
            <w:tcBorders>
              <w:top w:val="single" w:color="CCCCCC" w:sz="1"/>
              <w:left w:val="single" w:color="CCCCCC" w:sz="1"/>
              <w:bottom w:val="single" w:color="CCCCCC" w:sz="1"/>
              <w:right w:val="single" w:color="CCCCCC" w:sz="1"/>
            </w:tcBorders>
            <w:shd w:fill="2E4BC6" w:val="clear"/>
            <w:tcMar>
              <w:top w:type="dxa" w:w="80"/>
              <w:left w:type="dxa" w:w="120"/>
              <w:bottom w:type="dxa" w:w="80"/>
              <w:right w:type="dxa" w:w="120"/>
            </w:tcMar>
          </w:tcPr>
          <w:p>
            <w:r>
              <w:rPr>
                <w:rFonts w:ascii="Arial" w:cs="Arial" w:eastAsia="Arial" w:hAnsi="Arial"/>
                <w:b/>
                <w:bCs/>
                <w:color w:val="FFFFFF"/>
                <w:sz w:val="20"/>
                <w:szCs w:val="20"/>
              </w:rPr>
              <w:t xml:space="preserve">Avg Frequency</w:t>
            </w:r>
          </w:p>
        </w:tc>
        <w:tc>
          <w:tcPr>
            <w:tcW w:type="dxa" w:w="1820"/>
            <w:tcBorders>
              <w:top w:val="single" w:color="CCCCCC" w:sz="1"/>
              <w:left w:val="single" w:color="CCCCCC" w:sz="1"/>
              <w:bottom w:val="single" w:color="CCCCCC" w:sz="1"/>
              <w:right w:val="single" w:color="CCCCCC" w:sz="1"/>
            </w:tcBorders>
            <w:shd w:fill="2E4BC6" w:val="clear"/>
            <w:tcMar>
              <w:top w:type="dxa" w:w="80"/>
              <w:left w:type="dxa" w:w="120"/>
              <w:bottom w:type="dxa" w:w="80"/>
              <w:right w:type="dxa" w:w="120"/>
            </w:tcMar>
          </w:tcPr>
          <w:p>
            <w:r>
              <w:rPr>
                <w:rFonts w:ascii="Arial" w:cs="Arial" w:eastAsia="Arial" w:hAnsi="Arial"/>
                <w:b/>
                <w:bCs/>
                <w:color w:val="FFFFFF"/>
                <w:sz w:val="20"/>
                <w:szCs w:val="20"/>
              </w:rPr>
              <w:t xml:space="preserve">Avg Monetary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Champions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312</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12.4</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£2,847</w:t>
            </w:r>
          </w:p>
        </w:tc>
      </w:tr>
      <w:tr>
        <w:tc>
          <w:tcPr>
            <w:tcW w:type="dxa" w:w="12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22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color w:val="1A1A2E"/>
                <w:sz w:val="20"/>
                <w:szCs w:val="20"/>
              </w:rPr>
              <w:t xml:space="preserve">⚠️ At-Risk</w:t>
            </w:r>
          </w:p>
        </w:tc>
        <w:tc>
          <w:tcPr>
            <w:tcW w:type="dxa" w:w="9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color w:val="1A1A2E"/>
                <w:sz w:val="20"/>
                <w:szCs w:val="20"/>
              </w:rPr>
              <w:t xml:space="preserve">198</w:t>
            </w:r>
          </w:p>
        </w:tc>
        <w:tc>
          <w:tcPr>
            <w:tcW w:type="dxa" w:w="168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color w:val="1A1A2E"/>
                <w:sz w:val="20"/>
                <w:szCs w:val="20"/>
              </w:rPr>
              <w:t xml:space="preserve">187</w:t>
            </w:r>
          </w:p>
        </w:tc>
        <w:tc>
          <w:tcPr>
            <w:tcW w:type="dxa" w:w="156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color w:val="1A1A2E"/>
                <w:sz w:val="20"/>
                <w:szCs w:val="20"/>
              </w:rPr>
              <w:t xml:space="preserve">5.1</w:t>
            </w:r>
          </w:p>
        </w:tc>
        <w:tc>
          <w:tcPr>
            <w:tcW w:type="dxa" w:w="182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color w:val="1A1A2E"/>
                <w:sz w:val="20"/>
                <w:szCs w:val="20"/>
              </w:rPr>
              <w:t xml:space="preserve">£1,104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Potential Loyalists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287</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3.8</w:t>
            </w:r>
          </w:p>
        </w:tc>
        <w:tc>
          <w:tcPr>
            <w:tcW w:type="dxa" w:w="1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£682</w:t>
            </w:r>
          </w:p>
        </w:tc>
      </w:tr>
      <w:tr>
        <w:tc>
          <w:tcPr>
            <w:tcW w:type="dxa" w:w="12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22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color w:val="1A1A2E"/>
                <w:sz w:val="20"/>
                <w:szCs w:val="20"/>
              </w:rPr>
              <w:t xml:space="preserve">💤 Hibernating</w:t>
            </w:r>
          </w:p>
        </w:tc>
        <w:tc>
          <w:tcPr>
            <w:tcW w:type="dxa" w:w="9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color w:val="1A1A2E"/>
                <w:sz w:val="20"/>
                <w:szCs w:val="20"/>
              </w:rPr>
              <w:t xml:space="preserve">189</w:t>
            </w:r>
          </w:p>
        </w:tc>
        <w:tc>
          <w:tcPr>
            <w:tcW w:type="dxa" w:w="168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color w:val="1A1A2E"/>
                <w:sz w:val="20"/>
                <w:szCs w:val="20"/>
              </w:rPr>
              <w:t xml:space="preserve">298</w:t>
            </w:r>
          </w:p>
        </w:tc>
        <w:tc>
          <w:tcPr>
            <w:tcW w:type="dxa" w:w="156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color w:val="1A1A2E"/>
                <w:sz w:val="20"/>
                <w:szCs w:val="20"/>
              </w:rPr>
              <w:t xml:space="preserve">1.9</w:t>
            </w:r>
          </w:p>
        </w:tc>
        <w:tc>
          <w:tcPr>
            <w:tcW w:type="dxa" w:w="182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color w:val="1A1A2E"/>
                <w:sz w:val="20"/>
                <w:szCs w:val="20"/>
              </w:rPr>
              <w:t xml:space="preserve">£243</w:t>
            </w:r>
          </w:p>
        </w:tc>
      </w:tr>
    </w:tbl>
    <w:p>
      <w:pPr>
        <w:pStyle w:val="Heading2"/>
        <w:spacing w:after="120" w:before="260"/>
      </w:pPr>
      <w:r>
        <w:rPr>
          <w:rFonts w:ascii="Arial" w:cs="Arial" w:eastAsia="Arial" w:hAnsi="Arial"/>
          <w:b/>
          <w:bCs/>
          <w:color w:val="2E4BC6"/>
          <w:sz w:val="26"/>
          <w:szCs w:val="26"/>
        </w:rPr>
        <w:t xml:space="preserve">5.3 Segment Descriptions</w:t>
      </w:r>
    </w:p>
    <w:p>
      <w:pPr>
        <w:spacing w:after="60" w:before="160"/>
      </w:pPr>
      <w:r>
        <w:rPr>
          <w:rFonts w:ascii="Arial" w:cs="Arial" w:eastAsia="Arial" w:hAnsi="Arial"/>
          <w:b/>
          <w:bCs/>
          <w:color w:val="4B3FBF"/>
          <w:sz w:val="24"/>
          <w:szCs w:val="24"/>
        </w:rPr>
        <w:t xml:space="preserve">🏆 Cluster 0 – Champions</w:t>
      </w:r>
    </w:p>
    <w:p>
      <w:pPr>
        <w:spacing w:after="120" w:before="60"/>
      </w:pPr>
      <w:r>
        <w:rPr>
          <w:rFonts w:ascii="Arial" w:cs="Arial" w:eastAsia="Arial" w:hAnsi="Arial"/>
          <w:color w:val="1A1A2E"/>
          <w:sz w:val="22"/>
          <w:szCs w:val="22"/>
        </w:rPr>
        <w:t xml:space="preserve">The highest-value group. Champions purchased recently (avg 18 days ago), buy frequently (12.4 invoices), and spend the most (avg £2,847). They represent ~31% of the customer base but likely drive over 60% of revenue.</w:t>
      </w:r>
    </w:p>
    <w:p>
      <w:pPr>
        <w:spacing w:after="60" w:before="160"/>
      </w:pPr>
      <w:r>
        <w:rPr>
          <w:rFonts w:ascii="Arial" w:cs="Arial" w:eastAsia="Arial" w:hAnsi="Arial"/>
          <w:b/>
          <w:bCs/>
          <w:color w:val="CC3355"/>
          <w:sz w:val="24"/>
          <w:szCs w:val="24"/>
        </w:rPr>
        <w:t xml:space="preserve">⚠️ Cluster 1 – At-Risk</w:t>
      </w:r>
    </w:p>
    <w:p>
      <w:pPr>
        <w:spacing w:after="120" w:before="60"/>
      </w:pPr>
      <w:r>
        <w:rPr>
          <w:rFonts w:ascii="Arial" w:cs="Arial" w:eastAsia="Arial" w:hAnsi="Arial"/>
          <w:color w:val="1A1A2E"/>
          <w:sz w:val="22"/>
          <w:szCs w:val="22"/>
        </w:rPr>
        <w:t xml:space="preserve">Previously active customers who are becoming disengaged. They last purchased ~187 days ago and have moderate frequency and spend. Without intervention, they are likely to churn completely.</w:t>
      </w:r>
    </w:p>
    <w:p>
      <w:pPr>
        <w:spacing w:after="60" w:before="160"/>
      </w:pPr>
      <w:r>
        <w:rPr>
          <w:rFonts w:ascii="Arial" w:cs="Arial" w:eastAsia="Arial" w:hAnsi="Arial"/>
          <w:b/>
          <w:bCs/>
          <w:color w:val="1D8B47"/>
          <w:sz w:val="24"/>
          <w:szCs w:val="24"/>
        </w:rPr>
        <w:t xml:space="preserve">🌱 Cluster 2 – Potential Loyalists</w:t>
      </w:r>
    </w:p>
    <w:p>
      <w:pPr>
        <w:spacing w:after="120" w:before="60"/>
      </w:pPr>
      <w:r>
        <w:rPr>
          <w:rFonts w:ascii="Arial" w:cs="Arial" w:eastAsia="Arial" w:hAnsi="Arial"/>
          <w:color w:val="1A1A2E"/>
          <w:sz w:val="22"/>
          <w:szCs w:val="22"/>
        </w:rPr>
        <w:t xml:space="preserve">Recent buyers with growing engagement but low frequency. These customers have shown interest and recency but haven't committed to frequent purchasing yet. They represent the highest growth opportunity.</w:t>
      </w:r>
    </w:p>
    <w:p>
      <w:pPr>
        <w:spacing w:after="60" w:before="160"/>
      </w:pPr>
      <w:r>
        <w:rPr>
          <w:rFonts w:ascii="Arial" w:cs="Arial" w:eastAsia="Arial" w:hAnsi="Arial"/>
          <w:b/>
          <w:bCs/>
          <w:color w:val="B06000"/>
          <w:sz w:val="24"/>
          <w:szCs w:val="24"/>
        </w:rPr>
        <w:t xml:space="preserve">💤 Cluster 3 – Hibernating</w:t>
      </w:r>
    </w:p>
    <w:p>
      <w:pPr>
        <w:spacing w:after="120" w:before="60"/>
      </w:pPr>
      <w:r>
        <w:rPr>
          <w:rFonts w:ascii="Arial" w:cs="Arial" w:eastAsia="Arial" w:hAnsi="Arial"/>
          <w:color w:val="1A1A2E"/>
          <w:sz w:val="22"/>
          <w:szCs w:val="22"/>
        </w:rPr>
        <w:t xml:space="preserve">The least engaged segment. Customers last bought ~298 days ago with very low frequency and minimal spend. Re-engagement is costly; focus should be on selective win-back campaigns or list suppression.</w:t>
      </w:r>
    </w:p>
    <w:p>
      <w:pPr>
        <w:pStyle w:val="Heading1"/>
        <w:pBdr>
          <w:bottom w:val="single" w:color="6C63FF" w:sz="8" w:space="6"/>
        </w:pBdr>
        <w:spacing w:after="160" w:before="360"/>
      </w:pPr>
      <w:r>
        <w:rPr>
          <w:rFonts w:ascii="Arial" w:cs="Arial" w:eastAsia="Arial" w:hAnsi="Arial"/>
          <w:b/>
          <w:bCs/>
          <w:color w:val="1A1A2E"/>
          <w:sz w:val="32"/>
          <w:szCs w:val="32"/>
        </w:rPr>
        <w:t xml:space="preserve">6. Marketing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2E4BC6"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2000"/>
            <w:tcBorders>
              <w:top w:val="single" w:color="CCCCCC" w:sz="1"/>
              <w:left w:val="single" w:color="CCCCCC" w:sz="1"/>
              <w:bottom w:val="single" w:color="CCCCCC" w:sz="1"/>
              <w:right w:val="single" w:color="CCCCCC" w:sz="1"/>
            </w:tcBorders>
            <w:shd w:fill="2E4BC6"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5360"/>
            <w:tcBorders>
              <w:top w:val="single" w:color="CCCCCC" w:sz="1"/>
              <w:left w:val="single" w:color="CCCCCC" w:sz="1"/>
              <w:bottom w:val="single" w:color="CCCCCC" w:sz="1"/>
              <w:right w:val="single" w:color="CCCCCC" w:sz="1"/>
            </w:tcBorders>
            <w:shd w:fill="2E4BC6" w:val="clear"/>
            <w:tcMar>
              <w:top w:type="dxa" w:w="80"/>
              <w:left w:type="dxa" w:w="120"/>
              <w:bottom w:type="dxa" w:w="80"/>
              <w:right w:type="dxa" w:w="120"/>
            </w:tcMar>
          </w:tcPr>
          <w:p>
            <w:r>
              <w:rPr>
                <w:rFonts w:ascii="Arial" w:cs="Arial" w:eastAsia="Arial" w:hAnsi="Arial"/>
                <w:b/>
                <w:bCs/>
                <w:color w:val="FFFFFF"/>
                <w:sz w:val="20"/>
                <w:szCs w:val="20"/>
              </w:rPr>
              <w:t xml:space="preserve">Tactics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Champions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Reward &amp; Retain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VIP program, early product access, referral bonuses, personalized thank-you offers</w:t>
            </w:r>
          </w:p>
        </w:tc>
      </w:tr>
      <w:tr>
        <w:tc>
          <w:tcPr>
            <w:tcW w:type="dxa" w:w="20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color w:val="1A1A2E"/>
                <w:sz w:val="20"/>
                <w:szCs w:val="20"/>
              </w:rPr>
              <w:t xml:space="preserve">⚠️ At-Risk</w:t>
            </w:r>
          </w:p>
        </w:tc>
        <w:tc>
          <w:tcPr>
            <w:tcW w:type="dxa" w:w="20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color w:val="1A1A2E"/>
                <w:sz w:val="20"/>
                <w:szCs w:val="20"/>
              </w:rPr>
              <w:t xml:space="preserve">Win-Back Campaign</w:t>
            </w:r>
          </w:p>
        </w:tc>
        <w:tc>
          <w:tcPr>
            <w:tcW w:type="dxa" w:w="536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color w:val="1A1A2E"/>
                <w:sz w:val="20"/>
                <w:szCs w:val="20"/>
              </w:rPr>
              <w:t xml:space="preserve">Email re-engagement series, time-limited discount (15-20%), 'We miss you' messaging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Pot. Loyalists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Nurture &amp; Upsell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Personalized recommendations, loyalty tier introduction, subscription incentives</w:t>
            </w:r>
          </w:p>
        </w:tc>
      </w:tr>
      <w:tr>
        <w:tc>
          <w:tcPr>
            <w:tcW w:type="dxa" w:w="20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color w:val="1A1A2E"/>
                <w:sz w:val="20"/>
                <w:szCs w:val="20"/>
              </w:rPr>
              <w:t xml:space="preserve">💤 Hibernating</w:t>
            </w:r>
          </w:p>
        </w:tc>
        <w:tc>
          <w:tcPr>
            <w:tcW w:type="dxa" w:w="200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color w:val="1A1A2E"/>
                <w:sz w:val="20"/>
                <w:szCs w:val="20"/>
              </w:rPr>
              <w:t xml:space="preserve">Low-Cost Re-Engage</w:t>
            </w:r>
          </w:p>
        </w:tc>
        <w:tc>
          <w:tcPr>
            <w:tcW w:type="dxa" w:w="5360"/>
            <w:tcBorders>
              <w:top w:val="single" w:color="CCCCCC" w:sz="1"/>
              <w:left w:val="single" w:color="CCCCCC" w:sz="1"/>
              <w:bottom w:val="single" w:color="CCCCCC" w:sz="1"/>
              <w:right w:val="single" w:color="CCCCCC" w:sz="1"/>
            </w:tcBorders>
            <w:shd w:fill="F8F9FF" w:val="clear"/>
            <w:tcMar>
              <w:top w:type="dxa" w:w="80"/>
              <w:left w:type="dxa" w:w="120"/>
              <w:bottom w:type="dxa" w:w="80"/>
              <w:right w:type="dxa" w:w="120"/>
            </w:tcMar>
          </w:tcPr>
          <w:p>
            <w:r>
              <w:rPr>
                <w:rFonts w:ascii="Arial" w:cs="Arial" w:eastAsia="Arial" w:hAnsi="Arial"/>
                <w:color w:val="1A1A2E"/>
                <w:sz w:val="20"/>
                <w:szCs w:val="20"/>
              </w:rPr>
              <w:t xml:space="preserve">One final re-engagement email; if no response, suppress from active lists</w:t>
            </w:r>
          </w:p>
        </w:tc>
      </w:tr>
    </w:tbl>
    <w:p>
      <w:pPr>
        <w:pStyle w:val="Heading1"/>
        <w:pBdr>
          <w:bottom w:val="single" w:color="6C63FF" w:sz="8" w:space="6"/>
        </w:pBdr>
        <w:spacing w:after="160" w:before="360"/>
      </w:pPr>
      <w:r>
        <w:rPr>
          <w:rFonts w:ascii="Arial" w:cs="Arial" w:eastAsia="Arial" w:hAnsi="Arial"/>
          <w:b/>
          <w:bCs/>
          <w:color w:val="1A1A2E"/>
          <w:sz w:val="32"/>
          <w:szCs w:val="32"/>
        </w:rPr>
        <w:t xml:space="preserve">7. Conclusion</w:t>
      </w:r>
    </w:p>
    <w:p>
      <w:pPr>
        <w:spacing w:after="120" w:before="60"/>
      </w:pPr>
      <w:r>
        <w:rPr>
          <w:rFonts w:ascii="Arial" w:cs="Arial" w:eastAsia="Arial" w:hAnsi="Arial"/>
          <w:color w:val="1A1A2E"/>
          <w:sz w:val="22"/>
          <w:szCs w:val="22"/>
        </w:rPr>
        <w:t xml:space="preserve">This project successfully applied K-Means clustering to segment customers using RFM features. The optimal K=4 was validated using both the Elbow Method and Silhouette Score. The resulting segments — Champions, At-Risk, Potential Loyalists, and Hibernating — are statistically distinct and directly actionable by marketing teams.</w:t>
      </w:r>
    </w:p>
    <w:p>
      <w:pPr>
        <w:spacing w:after="120" w:before="60"/>
      </w:pPr>
      <w:r>
        <w:rPr>
          <w:rFonts w:ascii="Arial" w:cs="Arial" w:eastAsia="Arial" w:hAnsi="Arial"/>
          <w:color w:val="1A1A2E"/>
          <w:sz w:val="22"/>
          <w:szCs w:val="22"/>
        </w:rPr>
        <w:t xml:space="preserve">K-Means customer segmentation enables businesses to shift from one-size-fits-all messaging to precision marketing, improving retention rates, reducing churn, and maximizing customer lifetime value (CLV). Future work could explore hierarchical clustering, DBSCAN for outlier-robust segmentation, or integrating additional behavioral features such as product category preferences or browsing patterns.</w:t>
      </w:r>
    </w:p>
    <w:p>
      <w:pPr>
        <w:pStyle w:val="Heading1"/>
        <w:pBdr>
          <w:bottom w:val="single" w:color="6C63FF" w:sz="8" w:space="6"/>
        </w:pBdr>
        <w:spacing w:after="160" w:before="360"/>
      </w:pPr>
      <w:r>
        <w:rPr>
          <w:rFonts w:ascii="Arial" w:cs="Arial" w:eastAsia="Arial" w:hAnsi="Arial"/>
          <w:b/>
          <w:bCs/>
          <w:color w:val="1A1A2E"/>
          <w:sz w:val="32"/>
          <w:szCs w:val="32"/>
        </w:rPr>
        <w:t xml:space="preserve">8. References</w:t>
      </w:r>
    </w:p>
    <w:p>
      <w:pPr>
        <w:pStyle w:val="ListParagraph"/>
        <w:numPr>
          <w:ilvl w:val="0"/>
          <w:numId w:val="2"/>
        </w:numPr>
        <w:spacing w:after="40" w:before="40"/>
      </w:pPr>
      <w:r>
        <w:rPr>
          <w:rFonts w:ascii="Arial" w:cs="Arial" w:eastAsia="Arial" w:hAnsi="Arial"/>
          <w:color w:val="1A1A2E"/>
          <w:sz w:val="22"/>
          <w:szCs w:val="22"/>
        </w:rPr>
        <w:t xml:space="preserve">MacQueen, J. (1967). Some methods for classification and analysis of multivariate observations. Proceedings of the 5th Berkeley Symposium.</w:t>
      </w:r>
    </w:p>
    <w:p>
      <w:pPr>
        <w:pStyle w:val="ListParagraph"/>
        <w:numPr>
          <w:ilvl w:val="0"/>
          <w:numId w:val="2"/>
        </w:numPr>
        <w:spacing w:after="40" w:before="40"/>
      </w:pPr>
      <w:r>
        <w:rPr>
          <w:rFonts w:ascii="Arial" w:cs="Arial" w:eastAsia="Arial" w:hAnsi="Arial"/>
          <w:color w:val="1A1A2E"/>
          <w:sz w:val="22"/>
          <w:szCs w:val="22"/>
        </w:rPr>
        <w:t xml:space="preserve">Hughes, A.M. (1994). Strategic Database Marketing. Probus Publishing.</w:t>
      </w:r>
    </w:p>
    <w:p>
      <w:pPr>
        <w:pStyle w:val="ListParagraph"/>
        <w:numPr>
          <w:ilvl w:val="0"/>
          <w:numId w:val="2"/>
        </w:numPr>
        <w:spacing w:after="40" w:before="40"/>
      </w:pPr>
      <w:r>
        <w:rPr>
          <w:rFonts w:ascii="Arial" w:cs="Arial" w:eastAsia="Arial" w:hAnsi="Arial"/>
          <w:color w:val="1A1A2E"/>
          <w:sz w:val="22"/>
          <w:szCs w:val="22"/>
        </w:rPr>
        <w:t xml:space="preserve">Chen, D., Sain, S.L., &amp; Guo, K. (2012). Data mining for the online retail industry. Journal of Database Marketing &amp; Customer Strategy Management.</w:t>
      </w:r>
    </w:p>
    <w:p>
      <w:pPr>
        <w:pStyle w:val="ListParagraph"/>
        <w:numPr>
          <w:ilvl w:val="0"/>
          <w:numId w:val="2"/>
        </w:numPr>
        <w:spacing w:after="40" w:before="40"/>
      </w:pPr>
      <w:r>
        <w:rPr>
          <w:rFonts w:ascii="Arial" w:cs="Arial" w:eastAsia="Arial" w:hAnsi="Arial"/>
          <w:color w:val="1A1A2E"/>
          <w:sz w:val="22"/>
          <w:szCs w:val="22"/>
        </w:rPr>
        <w:t xml:space="preserve">Bult, J.R., &amp; Wansbeek, T. (1995). Optimal selection for direct mail. Marketing Science, 14(4), 378–394.</w:t>
      </w:r>
    </w:p>
    <w:p>
      <w:pPr>
        <w:pStyle w:val="ListParagraph"/>
        <w:numPr>
          <w:ilvl w:val="0"/>
          <w:numId w:val="2"/>
        </w:numPr>
        <w:spacing w:after="40" w:before="40"/>
      </w:pPr>
      <w:r>
        <w:rPr>
          <w:rFonts w:ascii="Arial" w:cs="Arial" w:eastAsia="Arial" w:hAnsi="Arial"/>
          <w:color w:val="1A1A2E"/>
          <w:sz w:val="22"/>
          <w:szCs w:val="22"/>
        </w:rPr>
        <w:t xml:space="preserve">scikit-learn: Machine Learning in Python. sklearn.cluster.KMeans. https://scikit-learn.org/</w:t>
      </w:r>
    </w:p>
    <w:p>
      <w:pPr>
        <w:pStyle w:val="ListParagraph"/>
        <w:numPr>
          <w:ilvl w:val="0"/>
          <w:numId w:val="2"/>
        </w:numPr>
        <w:spacing w:after="40" w:before="40"/>
      </w:pPr>
      <w:r>
        <w:rPr>
          <w:rFonts w:ascii="Arial" w:cs="Arial" w:eastAsia="Arial" w:hAnsi="Arial"/>
          <w:color w:val="1A1A2E"/>
          <w:sz w:val="22"/>
          <w:szCs w:val="22"/>
        </w:rPr>
        <w:t xml:space="preserve">UCI Machine Learning Repository: Online Retail Dataset. https://archive.ics.uci.edu/ml/datasets/online+retail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6B7280"/>
        <w:sz w:val="18"/>
        <w:szCs w:val="18"/>
      </w:rPr>
      <w:t xml:space="preserve">Machine Learning Project Report  |  2024</w:t>
    </w:r>
    <w:r>
      <w:rPr>
        <w:rFonts w:ascii="Arial" w:cs="Arial" w:eastAsia="Arial" w:hAnsi="Arial"/>
        <w:color w:val="6B7280"/>
        <w:sz w:val="18"/>
        <w:szCs w:val="18"/>
      </w:rPr>
      <w:t xml:space="preserve">	Page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63FF" w:sz="4" w:space="4"/>
      </w:pBdr>
    </w:pPr>
    <w:r>
      <w:rPr>
        <w:rFonts w:ascii="Arial" w:cs="Arial" w:eastAsia="Arial" w:hAnsi="Arial"/>
        <w:color w:val="6B7280"/>
        <w:sz w:val="18"/>
        <w:szCs w:val="18"/>
      </w:rPr>
      <w:t xml:space="preserve">Customer Segmentation using K-Means Clustering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4BC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2026-04-14T11:47:43.981Z</dcterms:created>
  <dcterms:modified xsi:type="dcterms:W3CDTF">2026-04-14T11:47:43.982Z</dcterms:modified>
</cp:coreProperties>
</file>

<file path=docProps/custom.xml><?xml version="1.0" encoding="utf-8"?>
<Properties xmlns="http://schemas.openxmlformats.org/officeDocument/2006/custom-properties" xmlns:vt="http://schemas.openxmlformats.org/officeDocument/2006/docPropsVTypes"/>
</file>