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review</w:t>
      </w:r>
    </w:p>
    <w:p>
      <w:r>
        <w:t>We reviewed our two suppliers for the last twelve deliveries.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Supplier</w:t>
            </w:r>
          </w:p>
        </w:tc>
        <w:tc>
          <w:tcPr>
            <w:tcW w:type="dxa" w:w="2880"/>
          </w:tcPr>
          <w:p>
            <w:r>
              <w:t>On time</w:t>
            </w:r>
          </w:p>
        </w:tc>
        <w:tc>
          <w:tcPr>
            <w:tcW w:type="dxa" w:w="2880"/>
          </w:tcPr>
          <w:p>
            <w:r>
              <w:t>Late</w:t>
            </w:r>
          </w:p>
        </w:tc>
      </w:tr>
      <w:tr>
        <w:tc>
          <w:tcPr>
            <w:tcW w:type="dxa" w:w="2880"/>
          </w:tcPr>
          <w:p>
            <w:r>
              <w:t>Northwind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Contoso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t>Recommendation: move the northern route to Contoso from November.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