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Analyse BAB</w:t>
      </w:r>
    </w:p>
    <w:p>
      <w:r>
        <w:rPr>
          <w:color w:val="45524B"/>
        </w:rPr>
        <w:t xml:space="preserve">Bénin · Exercices 2021 à 2023 · Montants en millions FCFA</w:t>
      </w:r>
    </w:p>
    <w:p>
      <w:r>
        <w:rPr>
          <w:color w:val="45524B"/>
        </w:rPr>
        <w:t xml:space="preserve">Réalisé par Isaac</w:t>
      </w:r>
    </w:p>
    <w:p>
      <w:r>
        <w:rPr>
          <w:i/>
          <w:color w:val="6B7770"/>
          <w:sz w:val="18"/>
          <w:szCs w:val="18"/>
        </w:rPr>
        <w:t xml:space="preserve">Document généré le 9 octobre 2026 avec Analyste Bancaire UMOA (référentiel PCB révisé, dispositif prudentiel BCEAO).</w:t>
      </w:r>
    </w:p>
    <w:p>
      <w:r>
        <w:rPr>
          <w:i/>
          <w:color w:val="6B7770"/>
          <w:sz w:val="18"/>
          <w:szCs w:val="18"/>
        </w:rPr>
        <w:t xml:space="preserve">Source des données : Fascicule BCEAO des bilans et comptes de résultat des banques de l’UMOA 2023, p. 22</w:t>
      </w:r>
    </w:p>
    <w:p>
      <w:pPr>
        <w:pStyle w:val="Heading2"/>
        <w:keepNext/>
      </w:pPr>
      <w:r>
        <w:t xml:space="preserve">Sommaire</w:t>
      </w:r>
    </w:p>
    <w:p>
      <w:pPr>
        <w:spacing w:after="40"/>
      </w:pPr>
      <w:r>
        <w:t xml:space="preserve">1. Synthèse et points clés</w:t>
      </w:r>
    </w:p>
    <w:p>
      <w:pPr>
        <w:spacing w:after="40"/>
      </w:pPr>
      <w:r>
        <w:t xml:space="preserve">2. Dynamique du bilan et du compte de résultat</w:t>
      </w:r>
    </w:p>
    <w:p>
      <w:pPr>
        <w:spacing w:after="40"/>
      </w:pPr>
      <w:r>
        <w:t xml:space="preserve">3. Ratios de structure (transformation, liquidité, levier, solvabilité)</w:t>
      </w:r>
    </w:p>
    <w:p>
      <w:pPr>
        <w:spacing w:after="40"/>
      </w:pPr>
      <w:r>
        <w:t xml:space="preserve">4. Rentabilité : ROA, ROE et effet de levier</w:t>
      </w:r>
    </w:p>
    <w:p>
      <w:pPr>
        <w:spacing w:after="40"/>
      </w:pPr>
      <w:r>
        <w:t xml:space="preserve">5. Test de faillite</w:t>
      </w:r>
    </w:p>
    <w:p>
      <w:pPr>
        <w:spacing w:after="40"/>
      </w:pPr>
      <w:r>
        <w:t xml:space="preserve">6. Bâle III : fonds propres et actifs pondérés</w:t>
      </w:r>
    </w:p>
    <w:p>
      <w:pPr>
        <w:spacing w:after="40"/>
      </w:pPr>
      <w:r>
        <w:t xml:space="preserve">7. Méthodologie, seuils et données manquantes</w:t>
      </w:r>
    </w:p>
    <w:p>
      <w:pPr>
        <w:pStyle w:val="Heading1"/>
        <w:keepNext/>
        <w:pageBreakBefore/>
      </w:pPr>
      <w:r>
        <w:t xml:space="preserve">1. Synthèse et points clés</w:t>
      </w:r>
    </w:p>
    <w:p>
      <w:r>
        <w:t xml:space="preserve">Indicateurs clés de l’exercice 2023.</w:t>
      </w:r>
    </w:p>
    <w:tbl>
      <w:tblPr>
        <w:tblStyle w:val="Grille"/>
        <w:tblW w:w="5000" w:type="pct"/>
        <w:tblLayout w:type="autofit"/>
      </w:tblPr>
      <w:tblGrid>
        <w:gridCol w:w="3277"/>
        <w:gridCol w:w="2120"/>
        <w:gridCol w:w="2120"/>
        <w:gridCol w:w="2120"/>
      </w:tblGrid>
      <w:tr>
        <w:trPr>
          <w:tblHeader/>
          <w:cantSplit/>
        </w:trPr>
        <w:tc>
          <w:tcPr>
            <w:tcW w:w="3277" w:type="dxa"/>
            <w:shd w:val="clear" w:color="auto" w:fill="E8EDE8"/>
          </w:tcPr>
          <w:p>
            <w:pPr>
              <w:spacing w:after="0"/>
              <w:jc w:val="left"/>
            </w:pPr>
            <w:r>
              <w:rPr>
                <w:b/>
                <w:sz w:val="17"/>
                <w:szCs w:val="17"/>
              </w:rPr>
              <w:t xml:space="preserve">Indicateur</w:t>
            </w:r>
          </w:p>
        </w:tc>
        <w:tc>
          <w:tcPr>
            <w:tcW w:w="2120" w:type="dxa"/>
            <w:shd w:val="clear" w:color="auto" w:fill="E8EDE8"/>
          </w:tcPr>
          <w:p>
            <w:pPr>
              <w:spacing w:after="0"/>
              <w:jc w:val="right"/>
            </w:pPr>
            <w:r>
              <w:rPr>
                <w:b/>
                <w:sz w:val="17"/>
                <w:szCs w:val="17"/>
              </w:rPr>
              <w:t xml:space="preserve">2023</w:t>
            </w:r>
          </w:p>
        </w:tc>
        <w:tc>
          <w:tcPr>
            <w:tcW w:w="2120" w:type="dxa"/>
            <w:shd w:val="clear" w:color="auto" w:fill="E8EDE8"/>
          </w:tcPr>
          <w:p>
            <w:pPr>
              <w:spacing w:after="0"/>
              <w:jc w:val="right"/>
            </w:pPr>
            <w:r>
              <w:rPr>
                <w:b/>
                <w:sz w:val="17"/>
                <w:szCs w:val="17"/>
              </w:rPr>
              <w:t xml:space="preserve">Évolution sur un an</w:t>
            </w:r>
          </w:p>
        </w:tc>
        <w:tc>
          <w:tcPr>
            <w:tcW w:w="2120" w:type="dxa"/>
            <w:shd w:val="clear" w:color="auto" w:fill="E8EDE8"/>
          </w:tcPr>
          <w:p>
            <w:pPr>
              <w:spacing w:after="0"/>
              <w:jc w:val="right"/>
            </w:pPr>
            <w:r>
              <w:rPr>
                <w:b/>
                <w:sz w:val="17"/>
                <w:szCs w:val="17"/>
              </w:rPr>
              <w:t xml:space="preserve">Appréciation</w:t>
            </w:r>
          </w:p>
        </w:tc>
      </w:tr>
      <w:tr>
        <w:trPr>
          <w:cantSplit/>
        </w:trPr>
        <w:tc>
          <w:tcPr>
            <w:tcW w:w="3277" w:type="dxa"/>
          </w:tcPr>
          <w:p>
            <w:pPr>
              <w:spacing w:after="0"/>
              <w:jc w:val="left"/>
            </w:pPr>
            <w:r>
              <w:rPr>
                <w:sz w:val="18"/>
                <w:szCs w:val="18"/>
              </w:rPr>
              <w:t xml:space="preserve">Total bilan (M)</w:t>
            </w:r>
          </w:p>
        </w:tc>
        <w:tc>
          <w:tcPr>
            <w:tcW w:w="2120" w:type="dxa"/>
          </w:tcPr>
          <w:p>
            <w:pPr>
              <w:spacing w:after="0"/>
              <w:jc w:val="right"/>
            </w:pPr>
            <w:r>
              <w:rPr>
                <w:sz w:val="18"/>
                <w:szCs w:val="18"/>
              </w:rPr>
              <w:t xml:space="preserve">295 660</w:t>
            </w:r>
          </w:p>
        </w:tc>
        <w:tc>
          <w:tcPr>
            <w:tcW w:w="2120" w:type="dxa"/>
          </w:tcPr>
          <w:p>
            <w:pPr>
              <w:spacing w:after="0"/>
              <w:jc w:val="right"/>
            </w:pPr>
            <w:r>
              <w:rPr>
                <w:sz w:val="18"/>
                <w:szCs w:val="18"/>
              </w:rPr>
              <w:t xml:space="preserve">+9,9 %</w:t>
            </w:r>
          </w:p>
        </w:tc>
        <w:tc>
          <w:tcPr>
            <w:tcW w:w="2120" w:type="dxa"/>
          </w:tcPr>
          <w:p>
            <w:pPr>
              <w:spacing w:after="0"/>
              <w:jc w:val="right"/>
            </w:pPr>
            <w:r>
              <w:rPr>
                <w:sz w:val="18"/>
                <w:szCs w:val="18"/>
              </w:rPr>
              <w:t xml:space="preserve"/>
            </w:r>
          </w:p>
        </w:tc>
      </w:tr>
      <w:tr>
        <w:trPr>
          <w:cantSplit/>
        </w:trPr>
        <w:tc>
          <w:tcPr>
            <w:tcW w:w="3277" w:type="dxa"/>
          </w:tcPr>
          <w:p>
            <w:pPr>
              <w:spacing w:after="0"/>
              <w:jc w:val="left"/>
            </w:pPr>
            <w:r>
              <w:rPr>
                <w:sz w:val="18"/>
                <w:szCs w:val="18"/>
              </w:rPr>
              <w:t xml:space="preserve">PNB (M)</w:t>
            </w:r>
          </w:p>
        </w:tc>
        <w:tc>
          <w:tcPr>
            <w:tcW w:w="2120" w:type="dxa"/>
          </w:tcPr>
          <w:p>
            <w:pPr>
              <w:spacing w:after="0"/>
              <w:jc w:val="right"/>
            </w:pPr>
            <w:r>
              <w:rPr>
                <w:sz w:val="18"/>
                <w:szCs w:val="18"/>
              </w:rPr>
              <w:t xml:space="preserve">19 620</w:t>
            </w:r>
          </w:p>
        </w:tc>
        <w:tc>
          <w:tcPr>
            <w:tcW w:w="2120" w:type="dxa"/>
          </w:tcPr>
          <w:p>
            <w:pPr>
              <w:spacing w:after="0"/>
              <w:jc w:val="right"/>
            </w:pPr>
            <w:r>
              <w:rPr>
                <w:sz w:val="18"/>
                <w:szCs w:val="18"/>
              </w:rPr>
              <w:t xml:space="preserve">+12,3 %</w:t>
            </w:r>
          </w:p>
        </w:tc>
        <w:tc>
          <w:tcPr>
            <w:tcW w:w="2120" w:type="dxa"/>
          </w:tcPr>
          <w:p>
            <w:pPr>
              <w:spacing w:after="0"/>
              <w:jc w:val="right"/>
            </w:pPr>
            <w:r>
              <w:rPr>
                <w:sz w:val="18"/>
                <w:szCs w:val="18"/>
              </w:rPr>
              <w:t xml:space="preserve"/>
            </w:r>
          </w:p>
        </w:tc>
      </w:tr>
      <w:tr>
        <w:trPr>
          <w:cantSplit/>
        </w:trPr>
        <w:tc>
          <w:tcPr>
            <w:tcW w:w="3277" w:type="dxa"/>
          </w:tcPr>
          <w:p>
            <w:pPr>
              <w:spacing w:after="0"/>
              <w:jc w:val="left"/>
            </w:pPr>
            <w:r>
              <w:rPr>
                <w:sz w:val="18"/>
                <w:szCs w:val="18"/>
              </w:rPr>
              <w:t xml:space="preserve">Résultat net (M)</w:t>
            </w:r>
          </w:p>
        </w:tc>
        <w:tc>
          <w:tcPr>
            <w:tcW w:w="2120" w:type="dxa"/>
          </w:tcPr>
          <w:p>
            <w:pPr>
              <w:spacing w:after="0"/>
              <w:jc w:val="right"/>
            </w:pPr>
            <w:r>
              <w:rPr>
                <w:sz w:val="18"/>
                <w:szCs w:val="18"/>
              </w:rPr>
              <w:t xml:space="preserve">2 908</w:t>
            </w:r>
          </w:p>
        </w:tc>
        <w:tc>
          <w:tcPr>
            <w:tcW w:w="2120" w:type="dxa"/>
          </w:tcPr>
          <w:p>
            <w:pPr>
              <w:spacing w:after="0"/>
              <w:jc w:val="right"/>
            </w:pPr>
            <w:r>
              <w:rPr>
                <w:sz w:val="18"/>
                <w:szCs w:val="18"/>
              </w:rPr>
              <w:t xml:space="preserve">−19,1 %</w:t>
            </w:r>
          </w:p>
        </w:tc>
        <w:tc>
          <w:tcPr>
            <w:tcW w:w="2120" w:type="dxa"/>
          </w:tcPr>
          <w:p>
            <w:pPr>
              <w:spacing w:after="0"/>
              <w:jc w:val="right"/>
            </w:pPr>
            <w:r>
              <w:rPr>
                <w:sz w:val="18"/>
                <w:szCs w:val="18"/>
              </w:rPr>
              <w:t xml:space="preserve"/>
            </w:r>
          </w:p>
        </w:tc>
      </w:tr>
      <w:tr>
        <w:trPr>
          <w:cantSplit/>
        </w:trPr>
        <w:tc>
          <w:tcPr>
            <w:tcW w:w="3277" w:type="dxa"/>
          </w:tcPr>
          <w:p>
            <w:pPr>
              <w:spacing w:after="0"/>
              <w:jc w:val="left"/>
            </w:pPr>
            <w:r>
              <w:rPr>
                <w:sz w:val="18"/>
                <w:szCs w:val="18"/>
              </w:rPr>
              <w:t xml:space="preserve">ROE</w:t>
            </w:r>
          </w:p>
        </w:tc>
        <w:tc>
          <w:tcPr>
            <w:tcW w:w="2120" w:type="dxa"/>
          </w:tcPr>
          <w:p>
            <w:pPr>
              <w:spacing w:after="0"/>
              <w:jc w:val="right"/>
            </w:pPr>
            <w:r>
              <w:rPr>
                <w:sz w:val="18"/>
                <w:szCs w:val="18"/>
              </w:rPr>
              <w:t xml:space="preserve">10,66 %</w:t>
            </w:r>
          </w:p>
        </w:tc>
        <w:tc>
          <w:tcPr>
            <w:tcW w:w="2120" w:type="dxa"/>
          </w:tcPr>
          <w:p>
            <w:pPr>
              <w:spacing w:after="0"/>
              <w:jc w:val="right"/>
            </w:pPr>
            <w:r>
              <w:rPr>
                <w:sz w:val="18"/>
                <w:szCs w:val="18"/>
              </w:rPr>
              <w:t xml:space="preserve">−4,09 pt</w:t>
            </w:r>
          </w:p>
        </w:tc>
        <w:tc>
          <w:tcPr>
            <w:tcW w:w="2120" w:type="dxa"/>
          </w:tcPr>
          <w:p>
            <w:pPr>
              <w:spacing w:after="0"/>
              <w:jc w:val="right"/>
            </w:pPr>
            <w:r>
              <w:rPr>
                <w:color w:val="8F5500"/>
                <w:sz w:val="18"/>
                <w:szCs w:val="18"/>
              </w:rPr>
              <w:t xml:space="preserve">! Marge faible</w:t>
            </w:r>
          </w:p>
        </w:tc>
      </w:tr>
      <w:tr>
        <w:trPr>
          <w:cantSplit/>
        </w:trPr>
        <w:tc>
          <w:tcPr>
            <w:tcW w:w="3277" w:type="dxa"/>
          </w:tcPr>
          <w:p>
            <w:pPr>
              <w:spacing w:after="0"/>
              <w:jc w:val="left"/>
            </w:pPr>
            <w:r>
              <w:rPr>
                <w:sz w:val="18"/>
                <w:szCs w:val="18"/>
              </w:rPr>
              <w:t xml:space="preserve">ROA</w:t>
            </w:r>
          </w:p>
        </w:tc>
        <w:tc>
          <w:tcPr>
            <w:tcW w:w="2120" w:type="dxa"/>
          </w:tcPr>
          <w:p>
            <w:pPr>
              <w:spacing w:after="0"/>
              <w:jc w:val="right"/>
            </w:pPr>
            <w:r>
              <w:rPr>
                <w:sz w:val="18"/>
                <w:szCs w:val="18"/>
              </w:rPr>
              <w:t xml:space="preserve">0,98 %</w:t>
            </w:r>
          </w:p>
        </w:tc>
        <w:tc>
          <w:tcPr>
            <w:tcW w:w="2120" w:type="dxa"/>
          </w:tcPr>
          <w:p>
            <w:pPr>
              <w:spacing w:after="0"/>
              <w:jc w:val="right"/>
            </w:pPr>
            <w:r>
              <w:rPr>
                <w:sz w:val="18"/>
                <w:szCs w:val="18"/>
              </w:rPr>
              <w:t xml:space="preserve">−0,35 pt</w:t>
            </w:r>
          </w:p>
        </w:tc>
        <w:tc>
          <w:tcPr>
            <w:tcW w:w="2120" w:type="dxa"/>
          </w:tcPr>
          <w:p>
            <w:pPr>
              <w:spacing w:after="0"/>
              <w:jc w:val="right"/>
            </w:pPr>
            <w:r>
              <w:rPr>
                <w:color w:val="B3302A"/>
                <w:sz w:val="18"/>
                <w:szCs w:val="18"/>
              </w:rPr>
              <w:t xml:space="preserve">✕ Hors repère</w:t>
            </w:r>
          </w:p>
        </w:tc>
      </w:tr>
      <w:tr>
        <w:trPr>
          <w:cantSplit/>
        </w:trPr>
        <w:tc>
          <w:tcPr>
            <w:tcW w:w="3277" w:type="dxa"/>
          </w:tcPr>
          <w:p>
            <w:pPr>
              <w:spacing w:after="0"/>
              <w:jc w:val="left"/>
            </w:pPr>
            <w:r>
              <w:rPr>
                <w:sz w:val="18"/>
                <w:szCs w:val="18"/>
              </w:rPr>
              <w:t xml:space="preserve">Ratio de solvabilité global</w:t>
            </w:r>
          </w:p>
        </w:tc>
        <w:tc>
          <w:tcPr>
            <w:tcW w:w="2120" w:type="dxa"/>
          </w:tcPr>
          <w:p>
            <w:pPr>
              <w:spacing w:after="0"/>
              <w:jc w:val="right"/>
            </w:pPr>
            <w:r>
              <w:rPr>
                <w:sz w:val="18"/>
                <w:szCs w:val="18"/>
              </w:rPr>
              <w:t xml:space="preserve">12,15 %</w:t>
            </w:r>
          </w:p>
        </w:tc>
        <w:tc>
          <w:tcPr>
            <w:tcW w:w="2120" w:type="dxa"/>
          </w:tcPr>
          <w:p>
            <w:pPr>
              <w:spacing w:after="0"/>
              <w:jc w:val="right"/>
            </w:pPr>
            <w:r>
              <w:rPr>
                <w:sz w:val="18"/>
                <w:szCs w:val="18"/>
              </w:rPr>
              <w:t xml:space="preserve">+0,69 pt</w:t>
            </w:r>
          </w:p>
        </w:tc>
        <w:tc>
          <w:tcPr>
            <w:tcW w:w="2120" w:type="dxa"/>
          </w:tcPr>
          <w:p>
            <w:pPr>
              <w:spacing w:after="0"/>
              <w:jc w:val="right"/>
            </w:pPr>
            <w:r>
              <w:rPr>
                <w:color w:val="8F5500"/>
                <w:sz w:val="18"/>
                <w:szCs w:val="18"/>
              </w:rPr>
              <w:t xml:space="preserve">! Marge faible</w:t>
            </w:r>
          </w:p>
        </w:tc>
      </w:tr>
      <w:tr>
        <w:trPr>
          <w:cantSplit/>
        </w:trPr>
        <w:tc>
          <w:tcPr>
            <w:tcW w:w="3277" w:type="dxa"/>
          </w:tcPr>
          <w:p>
            <w:pPr>
              <w:spacing w:after="0"/>
              <w:jc w:val="left"/>
            </w:pPr>
            <w:r>
              <w:rPr>
                <w:sz w:val="18"/>
                <w:szCs w:val="18"/>
              </w:rPr>
              <w:t xml:space="preserve">Ratio de levier Bâle III</w:t>
            </w:r>
          </w:p>
        </w:tc>
        <w:tc>
          <w:tcPr>
            <w:tcW w:w="2120" w:type="dxa"/>
          </w:tcPr>
          <w:p>
            <w:pPr>
              <w:spacing w:after="0"/>
              <w:jc w:val="right"/>
            </w:pPr>
            <w:r>
              <w:rPr>
                <w:sz w:val="18"/>
                <w:szCs w:val="18"/>
              </w:rPr>
              <w:t xml:space="preserve">8,69 %</w:t>
            </w:r>
          </w:p>
        </w:tc>
        <w:tc>
          <w:tcPr>
            <w:tcW w:w="2120" w:type="dxa"/>
          </w:tcPr>
          <w:p>
            <w:pPr>
              <w:spacing w:after="0"/>
              <w:jc w:val="right"/>
            </w:pPr>
            <w:r>
              <w:rPr>
                <w:sz w:val="18"/>
                <w:szCs w:val="18"/>
              </w:rPr>
              <w:t xml:space="preserve">+0,62 pt</w:t>
            </w:r>
          </w:p>
        </w:tc>
        <w:tc>
          <w:tcPr>
            <w:tcW w:w="2120" w:type="dxa"/>
          </w:tcPr>
          <w:p>
            <w:pPr>
              <w:spacing w:after="0"/>
              <w:jc w:val="right"/>
            </w:pPr>
            <w:r>
              <w:rPr>
                <w:color w:val="1A7642"/>
                <w:sz w:val="18"/>
                <w:szCs w:val="18"/>
              </w:rPr>
              <w:t xml:space="preserve">✓ Conforme</w:t>
            </w:r>
          </w:p>
        </w:tc>
      </w:tr>
      <w:tr>
        <w:trPr>
          <w:cantSplit/>
        </w:trPr>
        <w:tc>
          <w:tcPr>
            <w:tcW w:w="3277" w:type="dxa"/>
          </w:tcPr>
          <w:p>
            <w:pPr>
              <w:spacing w:after="0"/>
              <w:jc w:val="left"/>
            </w:pPr>
            <w:r>
              <w:rPr>
                <w:sz w:val="18"/>
                <w:szCs w:val="18"/>
              </w:rPr>
              <w:t xml:space="preserve">Ratio de transformation</w:t>
            </w:r>
          </w:p>
        </w:tc>
        <w:tc>
          <w:tcPr>
            <w:tcW w:w="2120" w:type="dxa"/>
          </w:tcPr>
          <w:p>
            <w:pPr>
              <w:spacing w:after="0"/>
              <w:jc w:val="right"/>
            </w:pPr>
            <w:r>
              <w:rPr>
                <w:sz w:val="18"/>
                <w:szCs w:val="18"/>
              </w:rPr>
              <w:t xml:space="preserve">76,68 %</w:t>
            </w:r>
          </w:p>
        </w:tc>
        <w:tc>
          <w:tcPr>
            <w:tcW w:w="2120" w:type="dxa"/>
          </w:tcPr>
          <w:p>
            <w:pPr>
              <w:spacing w:after="0"/>
              <w:jc w:val="right"/>
            </w:pPr>
            <w:r>
              <w:rPr>
                <w:sz w:val="18"/>
                <w:szCs w:val="18"/>
              </w:rPr>
              <w:t xml:space="preserve">+7,15 pt</w:t>
            </w:r>
          </w:p>
        </w:tc>
        <w:tc>
          <w:tcPr>
            <w:tcW w:w="2120" w:type="dxa"/>
          </w:tcPr>
          <w:p>
            <w:pPr>
              <w:spacing w:after="0"/>
              <w:jc w:val="right"/>
            </w:pPr>
            <w:r>
              <w:rPr>
                <w:color w:val="1A7642"/>
                <w:sz w:val="18"/>
                <w:szCs w:val="18"/>
              </w:rPr>
              <w:t xml:space="preserve">✓ Dans le repère</w:t>
            </w:r>
          </w:p>
        </w:tc>
      </w:tr>
      <w:tr>
        <w:trPr>
          <w:cantSplit/>
        </w:trPr>
        <w:tc>
          <w:tcPr>
            <w:tcW w:w="3277" w:type="dxa"/>
          </w:tcPr>
          <w:p>
            <w:pPr>
              <w:spacing w:after="0"/>
              <w:jc w:val="left"/>
            </w:pPr>
            <w:r>
              <w:rPr>
                <w:sz w:val="18"/>
                <w:szCs w:val="18"/>
              </w:rPr>
              <w:t xml:space="preserve">Ratio de liquidité (bilan)</w:t>
            </w:r>
          </w:p>
        </w:tc>
        <w:tc>
          <w:tcPr>
            <w:tcW w:w="2120" w:type="dxa"/>
          </w:tcPr>
          <w:p>
            <w:pPr>
              <w:spacing w:after="0"/>
              <w:jc w:val="right"/>
            </w:pPr>
            <w:r>
              <w:rPr>
                <w:sz w:val="18"/>
                <w:szCs w:val="18"/>
              </w:rPr>
              <w:t xml:space="preserve">45,69 %</w:t>
            </w:r>
          </w:p>
        </w:tc>
        <w:tc>
          <w:tcPr>
            <w:tcW w:w="2120" w:type="dxa"/>
          </w:tcPr>
          <w:p>
            <w:pPr>
              <w:spacing w:after="0"/>
              <w:jc w:val="right"/>
            </w:pPr>
            <w:r>
              <w:rPr>
                <w:sz w:val="18"/>
                <w:szCs w:val="18"/>
              </w:rPr>
              <w:t xml:space="preserve">−1,64 pt</w:t>
            </w:r>
          </w:p>
        </w:tc>
        <w:tc>
          <w:tcPr>
            <w:tcW w:w="2120" w:type="dxa"/>
          </w:tcPr>
          <w:p>
            <w:pPr>
              <w:spacing w:after="0"/>
              <w:jc w:val="right"/>
            </w:pPr>
            <w:r>
              <w:rPr>
                <w:color w:val="1A7642"/>
                <w:sz w:val="18"/>
                <w:szCs w:val="18"/>
              </w:rPr>
              <w:t xml:space="preserve">✓ Dans le repère</w:t>
            </w:r>
          </w:p>
        </w:tc>
      </w:tr>
      <w:tr>
        <w:trPr>
          <w:cantSplit/>
        </w:trPr>
        <w:tc>
          <w:tcPr>
            <w:tcW w:w="3277" w:type="dxa"/>
          </w:tcPr>
          <w:p>
            <w:pPr>
              <w:spacing w:after="0"/>
              <w:jc w:val="left"/>
            </w:pPr>
            <w:r>
              <w:rPr>
                <w:sz w:val="18"/>
                <w:szCs w:val="18"/>
              </w:rPr>
              <w:t xml:space="preserve">Coefficient d'exploitation</w:t>
            </w:r>
          </w:p>
        </w:tc>
        <w:tc>
          <w:tcPr>
            <w:tcW w:w="2120" w:type="dxa"/>
          </w:tcPr>
          <w:p>
            <w:pPr>
              <w:spacing w:after="0"/>
              <w:jc w:val="right"/>
            </w:pPr>
            <w:r>
              <w:rPr>
                <w:sz w:val="18"/>
                <w:szCs w:val="18"/>
              </w:rPr>
              <w:t xml:space="preserve">58,61 %</w:t>
            </w:r>
          </w:p>
        </w:tc>
        <w:tc>
          <w:tcPr>
            <w:tcW w:w="2120" w:type="dxa"/>
          </w:tcPr>
          <w:p>
            <w:pPr>
              <w:spacing w:after="0"/>
              <w:jc w:val="right"/>
            </w:pPr>
            <w:r>
              <w:rPr>
                <w:sz w:val="18"/>
                <w:szCs w:val="18"/>
              </w:rPr>
              <w:t xml:space="preserve">−3,78 pt</w:t>
            </w:r>
          </w:p>
        </w:tc>
        <w:tc>
          <w:tcPr>
            <w:tcW w:w="2120" w:type="dxa"/>
          </w:tcPr>
          <w:p>
            <w:pPr>
              <w:spacing w:after="0"/>
              <w:jc w:val="right"/>
            </w:pPr>
            <w:r>
              <w:rPr>
                <w:color w:val="8F5500"/>
                <w:sz w:val="18"/>
                <w:szCs w:val="18"/>
              </w:rPr>
              <w:t xml:space="preserve">! Marge faible</w:t>
            </w:r>
          </w:p>
        </w:tc>
      </w:tr>
    </w:tbl>
    <w:p>
      <w:pPr>
        <w:spacing w:after="60"/>
      </w:pPr>
    </w:p>
    <w:p>
      <w:pPr>
        <w:pStyle w:val="Heading2"/>
        <w:keepNext/>
      </w:pPr>
      <w:r>
        <w:t xml:space="preserve">Points forts</w:t>
      </w:r>
    </w:p>
    <w:p>
      <w:pPr>
        <w:ind w:left="360" w:hanging="220"/>
      </w:pPr>
      <w:r>
        <w:t xml:space="preserve">•  </w:t>
      </w:r>
      <w:r>
        <w:rPr>
          <w:b/>
        </w:rPr>
        <w:t xml:space="preserve">Ratio CET1</w:t>
      </w:r>
      <w:r>
        <w:t xml:space="preserve"> à 11,48 % (+0,72 pt sur un an), en amélioration.</w:t>
      </w:r>
    </w:p>
    <w:p>
      <w:pPr>
        <w:ind w:left="360" w:hanging="220"/>
      </w:pPr>
      <w:r>
        <w:t xml:space="preserve">•  </w:t>
      </w:r>
      <w:r>
        <w:rPr>
          <w:b/>
        </w:rPr>
        <w:t xml:space="preserve">Ratio de levier Bâle III</w:t>
      </w:r>
      <w:r>
        <w:t xml:space="preserve"> à 8,69 % (+0,62 pt sur un an), en amélioration.</w:t>
      </w:r>
    </w:p>
    <w:p>
      <w:pPr>
        <w:ind w:left="360" w:hanging="220"/>
      </w:pPr>
      <w:r>
        <w:t xml:space="preserve">•  </w:t>
      </w:r>
      <w:r>
        <w:rPr>
          <w:b/>
        </w:rPr>
        <w:t xml:space="preserve">Ratio de liquidité (bilan)</w:t>
      </w:r>
      <w:r>
        <w:t xml:space="preserve"> à 45,69 % (−1,64 pt sur un an).</w:t>
      </w:r>
    </w:p>
    <w:p>
      <w:pPr>
        <w:ind w:left="360" w:hanging="220"/>
      </w:pPr>
      <w:r>
        <w:t xml:space="preserve">•  </w:t>
      </w:r>
      <w:r>
        <w:rPr>
          <w:b/>
        </w:rPr>
        <w:t xml:space="preserve">Ratio de levier (bilan)</w:t>
      </w:r>
      <w:r>
        <w:t xml:space="preserve"> à 9,23 % (+0,17 pt sur un an), en amélioration.</w:t>
      </w:r>
    </w:p>
    <w:p>
      <w:pPr>
        <w:ind w:left="360" w:hanging="220"/>
      </w:pPr>
      <w:r>
        <w:t xml:space="preserve">•  </w:t>
      </w:r>
      <w:r>
        <w:rPr>
          <w:b/>
        </w:rPr>
        <w:t xml:space="preserve">Capitaux propres</w:t>
      </w:r>
      <w:r>
        <w:t xml:space="preserve"> en hausse de 20 787 à 27 289 M sur la période 2021-2023.</w:t>
      </w:r>
    </w:p>
    <w:p>
      <w:pPr>
        <w:pStyle w:val="Heading2"/>
        <w:keepNext/>
      </w:pPr>
      <w:r>
        <w:t xml:space="preserve">Points de vigilance</w:t>
      </w:r>
    </w:p>
    <w:p>
      <w:pPr>
        <w:ind w:left="360" w:hanging="220"/>
      </w:pPr>
      <w:r>
        <w:t xml:space="preserve">•  </w:t>
      </w:r>
      <w:r>
        <w:rPr>
          <w:b/>
        </w:rPr>
        <w:t xml:space="preserve">Ratio de solvabilité global</w:t>
      </w:r>
      <w:r>
        <w:t xml:space="preserve"> à 12,15 % (+0,69 pt sur un an) : proche du seuil.</w:t>
      </w:r>
    </w:p>
    <w:p>
      <w:pPr>
        <w:ind w:left="360" w:hanging="220"/>
      </w:pPr>
      <w:r>
        <w:t xml:space="preserve">•  </w:t>
      </w:r>
      <w:r>
        <w:rPr>
          <w:b/>
        </w:rPr>
        <w:t xml:space="preserve">Ratio de transformation</w:t>
      </w:r>
      <w:r>
        <w:t xml:space="preserve"> à 76,68 % (+7,15 pt sur un an) : dégradation marquée.</w:t>
      </w:r>
    </w:p>
    <w:p>
      <w:pPr>
        <w:ind w:left="360" w:hanging="220"/>
      </w:pPr>
      <w:r>
        <w:t xml:space="preserve">•  </w:t>
      </w:r>
      <w:r>
        <w:rPr>
          <w:b/>
        </w:rPr>
        <w:t xml:space="preserve">ROE</w:t>
      </w:r>
      <w:r>
        <w:t xml:space="preserve"> à 10,66 % (−4,09 pt sur un an) : proche du seuil.</w:t>
      </w:r>
    </w:p>
    <w:p>
      <w:pPr>
        <w:ind w:left="360" w:hanging="220"/>
      </w:pPr>
      <w:r>
        <w:t xml:space="preserve">•  </w:t>
      </w:r>
      <w:r>
        <w:rPr>
          <w:b/>
        </w:rPr>
        <w:t xml:space="preserve">ROA</w:t>
      </w:r>
      <w:r>
        <w:t xml:space="preserve"> à 0,98 % (−0,35 pt sur un an) : hors repère.</w:t>
      </w:r>
    </w:p>
    <w:p>
      <w:pPr>
        <w:ind w:left="360" w:hanging="220"/>
      </w:pPr>
      <w:r>
        <w:t xml:space="preserve">•  </w:t>
      </w:r>
      <w:r>
        <w:rPr>
          <w:b/>
        </w:rPr>
        <w:t xml:space="preserve">Coefficient d'exploitation</w:t>
      </w:r>
      <w:r>
        <w:t xml:space="preserve"> à 58,61 % (−3,78 pt sur un an) : proche du seuil.</w:t>
      </w:r>
    </w:p>
    <w:p>
      <w:pPr>
        <w:ind w:left="360" w:hanging="220"/>
      </w:pPr>
      <w:r>
        <w:t xml:space="preserve">•  </w:t>
      </w:r>
      <w:r>
        <w:rPr>
          <w:b/>
        </w:rPr>
        <w:t xml:space="preserve">Coût du risque / crédits</w:t>
      </w:r>
      <w:r>
        <w:t xml:space="preserve"> à 1,39 % (+0,70 pt sur un an) : dégradation marquée.</w:t>
      </w:r>
    </w:p>
    <w:p>
      <w:pPr>
        <w:ind w:left="360" w:hanging="220"/>
      </w:pPr>
      <w:r>
        <w:t xml:space="preserve">•  </w:t>
      </w:r>
      <w:r>
        <w:rPr>
          <w:b/>
        </w:rPr>
        <w:t xml:space="preserve">Capital réduit</w:t>
      </w:r>
      <w:r>
        <w:t xml:space="preserve"> de 28 000 à 20 563 M en 2023 : opération probable d’apurement des pertes (réduction de capital).</w:t>
      </w:r>
    </w:p>
    <w:p>
      <w:pPr>
        <w:pStyle w:val="Heading2"/>
        <w:keepNext/>
      </w:pPr>
      <w:r>
        <w:t xml:space="preserve">Commentaire de l’analyste</w:t>
      </w:r>
    </w:p>
    <w:p>
      <w:r>
        <w:t xml:space="preserve">Banque en redressement.</w:t>
      </w:r>
    </w:p>
    <w:p>
      <w:r>
        <w:t xml:space="preserve">À suivre.</w:t>
      </w:r>
    </w:p>
    <w:p>
      <w:pPr>
        <w:pStyle w:val="Heading1"/>
        <w:keepNext/>
        <w:pageBreakBefore/>
      </w:pPr>
      <w:r>
        <w:t xml:space="preserve">2. Dynamique du bilan et du compte de résultat</w:t>
      </w:r>
    </w:p>
    <w:p>
      <w:r>
        <w:t xml:space="preserve">Pour chaque poste : montant par exercice, variation absolue (ΔX = X</w:t>
      </w:r>
      <w:r>
        <w:rPr>
          <w:vertAlign w:val="subscript"/>
        </w:rPr>
        <w:t xml:space="preserve">N</w:t>
      </w:r>
      <w:r>
        <w:t xml:space="preserve"> − X</w:t>
      </w:r>
      <w:r>
        <w:rPr>
          <w:vertAlign w:val="subscript"/>
        </w:rPr>
        <w:t xml:space="preserve">N−1</w:t>
      </w:r>
      <w:r>
        <w:t xml:space="preserve">) et taux de variation (ΔX / X</w:t>
      </w:r>
      <w:r>
        <w:rPr>
          <w:vertAlign w:val="subscript"/>
        </w:rPr>
        <w:t xml:space="preserve">N−1</w:t>
      </w:r>
      <w:r>
        <w:t xml:space="preserve">). Montants en millions de FCFA.</w:t>
      </w:r>
    </w:p>
    <w:p>
      <w:pPr>
        <w:pStyle w:val="Heading2"/>
        <w:keepNext/>
      </w:pPr>
      <w:r>
        <w:t xml:space="preserve">Actif</w:t>
      </w:r>
    </w:p>
    <w:tbl>
      <w:tblPr>
        <w:tblStyle w:val="Grille"/>
        <w:tblW w:w="5000" w:type="pct"/>
        <w:tblLayout w:type="autofit"/>
      </w:tblPr>
      <w:tblGrid>
        <w:gridCol w:w="3662"/>
        <w:gridCol w:w="1195"/>
        <w:gridCol w:w="1195"/>
        <w:gridCol w:w="1195"/>
        <w:gridCol w:w="1195"/>
        <w:gridCol w:w="1195"/>
      </w:tblGrid>
      <w:tr>
        <w:trPr>
          <w:tblHeader/>
          <w:cantSplit/>
        </w:trPr>
        <w:tc>
          <w:tcPr>
            <w:tcW w:w="3662" w:type="dxa"/>
            <w:shd w:val="clear" w:color="auto" w:fill="E8EDE8"/>
          </w:tcPr>
          <w:p>
            <w:pPr>
              <w:spacing w:after="0"/>
              <w:jc w:val="left"/>
            </w:pPr>
            <w:r>
              <w:rPr>
                <w:b/>
                <w:sz w:val="17"/>
                <w:szCs w:val="17"/>
              </w:rPr>
              <w:t xml:space="preserve">Poste</w:t>
            </w:r>
          </w:p>
        </w:tc>
        <w:tc>
          <w:tcPr>
            <w:tcW w:w="1195" w:type="dxa"/>
            <w:shd w:val="clear" w:color="auto" w:fill="E8EDE8"/>
          </w:tcPr>
          <w:p>
            <w:pPr>
              <w:spacing w:after="0"/>
              <w:jc w:val="right"/>
            </w:pPr>
            <w:r>
              <w:rPr>
                <w:b/>
                <w:sz w:val="17"/>
                <w:szCs w:val="17"/>
              </w:rPr>
              <w:t xml:space="preserve">2021</w:t>
            </w:r>
          </w:p>
        </w:tc>
        <w:tc>
          <w:tcPr>
            <w:tcW w:w="1195" w:type="dxa"/>
            <w:shd w:val="clear" w:color="auto" w:fill="E8EDE8"/>
          </w:tcPr>
          <w:p>
            <w:pPr>
              <w:spacing w:after="0"/>
              <w:jc w:val="right"/>
            </w:pPr>
            <w:r>
              <w:rPr>
                <w:b/>
                <w:sz w:val="17"/>
                <w:szCs w:val="17"/>
              </w:rPr>
              <w:t xml:space="preserve">2022</w:t>
            </w:r>
          </w:p>
        </w:tc>
        <w:tc>
          <w:tcPr>
            <w:tcW w:w="1195" w:type="dxa"/>
            <w:shd w:val="clear" w:color="auto" w:fill="E8EDE8"/>
          </w:tcPr>
          <w:p>
            <w:pPr>
              <w:spacing w:after="0"/>
              <w:jc w:val="right"/>
            </w:pPr>
            <w:r>
              <w:rPr>
                <w:b/>
                <w:sz w:val="17"/>
                <w:szCs w:val="17"/>
              </w:rPr>
              <w:t xml:space="preserve">2023</w:t>
            </w:r>
          </w:p>
        </w:tc>
        <w:tc>
          <w:tcPr>
            <w:tcW w:w="1195" w:type="dxa"/>
            <w:shd w:val="clear" w:color="auto" w:fill="E8EDE8"/>
          </w:tcPr>
          <w:p>
            <w:pPr>
              <w:spacing w:after="0"/>
              <w:jc w:val="right"/>
            </w:pPr>
            <w:r>
              <w:rPr>
                <w:b/>
                <w:sz w:val="17"/>
                <w:szCs w:val="17"/>
              </w:rPr>
              <w:t xml:space="preserve">Δ% 2022</w:t>
            </w:r>
          </w:p>
        </w:tc>
        <w:tc>
          <w:tcPr>
            <w:tcW w:w="1195" w:type="dxa"/>
            <w:shd w:val="clear" w:color="auto" w:fill="E8EDE8"/>
          </w:tcPr>
          <w:p>
            <w:pPr>
              <w:spacing w:after="0"/>
              <w:jc w:val="right"/>
            </w:pPr>
            <w:r>
              <w:rPr>
                <w:b/>
                <w:sz w:val="17"/>
                <w:szCs w:val="17"/>
              </w:rPr>
              <w:t xml:space="preserve">Δ% 2023</w:t>
            </w:r>
          </w:p>
        </w:tc>
      </w:tr>
      <w:tr>
        <w:trPr>
          <w:cantSplit/>
        </w:trPr>
        <w:tc>
          <w:tcPr>
            <w:tcW w:w="3662" w:type="dxa"/>
          </w:tcPr>
          <w:p>
            <w:pPr>
              <w:spacing w:after="0"/>
              <w:jc w:val="left"/>
            </w:pPr>
            <w:r>
              <w:rPr>
                <w:sz w:val="18"/>
                <w:szCs w:val="18"/>
              </w:rPr>
              <w:t xml:space="preserve">Caisse, banque centrale, CCP</w:t>
            </w:r>
          </w:p>
        </w:tc>
        <w:tc>
          <w:tcPr>
            <w:tcW w:w="1195" w:type="dxa"/>
          </w:tcPr>
          <w:p>
            <w:pPr>
              <w:spacing w:after="0"/>
              <w:jc w:val="right"/>
            </w:pPr>
            <w:r>
              <w:rPr>
                <w:sz w:val="18"/>
                <w:szCs w:val="18"/>
              </w:rPr>
              <w:t xml:space="preserve">11 953</w:t>
            </w:r>
          </w:p>
        </w:tc>
        <w:tc>
          <w:tcPr>
            <w:tcW w:w="1195" w:type="dxa"/>
          </w:tcPr>
          <w:p>
            <w:pPr>
              <w:spacing w:after="0"/>
              <w:jc w:val="right"/>
            </w:pPr>
            <w:r>
              <w:rPr>
                <w:sz w:val="18"/>
                <w:szCs w:val="18"/>
              </w:rPr>
              <w:t xml:space="preserve">14 456</w:t>
            </w:r>
          </w:p>
        </w:tc>
        <w:tc>
          <w:tcPr>
            <w:tcW w:w="1195" w:type="dxa"/>
          </w:tcPr>
          <w:p>
            <w:pPr>
              <w:spacing w:after="0"/>
              <w:jc w:val="right"/>
            </w:pPr>
            <w:r>
              <w:rPr>
                <w:sz w:val="18"/>
                <w:szCs w:val="18"/>
              </w:rPr>
              <w:t xml:space="preserve">21 982</w:t>
            </w:r>
          </w:p>
        </w:tc>
        <w:tc>
          <w:tcPr>
            <w:tcW w:w="1195" w:type="dxa"/>
          </w:tcPr>
          <w:p>
            <w:pPr>
              <w:spacing w:after="0"/>
              <w:jc w:val="right"/>
            </w:pPr>
            <w:r>
              <w:rPr>
                <w:sz w:val="18"/>
                <w:szCs w:val="18"/>
              </w:rPr>
              <w:t xml:space="preserve">+20,9 %</w:t>
            </w:r>
          </w:p>
        </w:tc>
        <w:tc>
          <w:tcPr>
            <w:tcW w:w="1195" w:type="dxa"/>
          </w:tcPr>
          <w:p>
            <w:pPr>
              <w:spacing w:after="0"/>
              <w:jc w:val="right"/>
            </w:pPr>
            <w:r>
              <w:rPr>
                <w:sz w:val="18"/>
                <w:szCs w:val="18"/>
              </w:rPr>
              <w:t xml:space="preserve">+52,1 %</w:t>
            </w:r>
          </w:p>
        </w:tc>
      </w:tr>
      <w:tr>
        <w:trPr>
          <w:cantSplit/>
        </w:trPr>
        <w:tc>
          <w:tcPr>
            <w:tcW w:w="3662" w:type="dxa"/>
          </w:tcPr>
          <w:p>
            <w:pPr>
              <w:spacing w:after="0"/>
              <w:jc w:val="left"/>
            </w:pPr>
            <w:r>
              <w:rPr>
                <w:sz w:val="18"/>
                <w:szCs w:val="18"/>
              </w:rPr>
              <w:t xml:space="preserve">Effets publics et valeurs assimilées</w:t>
            </w:r>
          </w:p>
        </w:tc>
        <w:tc>
          <w:tcPr>
            <w:tcW w:w="1195" w:type="dxa"/>
          </w:tcPr>
          <w:p>
            <w:pPr>
              <w:spacing w:after="0"/>
              <w:jc w:val="right"/>
            </w:pPr>
            <w:r>
              <w:rPr>
                <w:sz w:val="18"/>
                <w:szCs w:val="18"/>
              </w:rPr>
              <w:t xml:space="preserve">105 891</w:t>
            </w:r>
          </w:p>
        </w:tc>
        <w:tc>
          <w:tcPr>
            <w:tcW w:w="1195" w:type="dxa"/>
          </w:tcPr>
          <w:p>
            <w:pPr>
              <w:spacing w:after="0"/>
              <w:jc w:val="right"/>
            </w:pPr>
            <w:r>
              <w:rPr>
                <w:sz w:val="18"/>
                <w:szCs w:val="18"/>
              </w:rPr>
              <w:t xml:space="preserve">87 754</w:t>
            </w:r>
          </w:p>
        </w:tc>
        <w:tc>
          <w:tcPr>
            <w:tcW w:w="1195" w:type="dxa"/>
          </w:tcPr>
          <w:p>
            <w:pPr>
              <w:spacing w:after="0"/>
              <w:jc w:val="right"/>
            </w:pPr>
            <w:r>
              <w:rPr>
                <w:sz w:val="18"/>
                <w:szCs w:val="18"/>
              </w:rPr>
              <w:t xml:space="preserve">78 393</w:t>
            </w:r>
          </w:p>
        </w:tc>
        <w:tc>
          <w:tcPr>
            <w:tcW w:w="1195" w:type="dxa"/>
          </w:tcPr>
          <w:p>
            <w:pPr>
              <w:spacing w:after="0"/>
              <w:jc w:val="right"/>
            </w:pPr>
            <w:r>
              <w:rPr>
                <w:sz w:val="18"/>
                <w:szCs w:val="18"/>
              </w:rPr>
              <w:t xml:space="preserve">−17,1 %</w:t>
            </w:r>
          </w:p>
        </w:tc>
        <w:tc>
          <w:tcPr>
            <w:tcW w:w="1195" w:type="dxa"/>
          </w:tcPr>
          <w:p>
            <w:pPr>
              <w:spacing w:after="0"/>
              <w:jc w:val="right"/>
            </w:pPr>
            <w:r>
              <w:rPr>
                <w:sz w:val="18"/>
                <w:szCs w:val="18"/>
              </w:rPr>
              <w:t xml:space="preserve">−10,7 %</w:t>
            </w:r>
          </w:p>
        </w:tc>
      </w:tr>
      <w:tr>
        <w:trPr>
          <w:cantSplit/>
        </w:trPr>
        <w:tc>
          <w:tcPr>
            <w:tcW w:w="3662" w:type="dxa"/>
          </w:tcPr>
          <w:p>
            <w:pPr>
              <w:spacing w:after="0"/>
              <w:jc w:val="left"/>
            </w:pPr>
            <w:r>
              <w:rPr>
                <w:sz w:val="18"/>
                <w:szCs w:val="18"/>
              </w:rPr>
              <w:t xml:space="preserve">Créances interbancaires et assimilées</w:t>
            </w:r>
          </w:p>
        </w:tc>
        <w:tc>
          <w:tcPr>
            <w:tcW w:w="1195" w:type="dxa"/>
          </w:tcPr>
          <w:p>
            <w:pPr>
              <w:spacing w:after="0"/>
              <w:jc w:val="right"/>
            </w:pPr>
            <w:r>
              <w:rPr>
                <w:sz w:val="18"/>
                <w:szCs w:val="18"/>
              </w:rPr>
              <w:t xml:space="preserve">16 570</w:t>
            </w:r>
          </w:p>
        </w:tc>
        <w:tc>
          <w:tcPr>
            <w:tcW w:w="1195" w:type="dxa"/>
          </w:tcPr>
          <w:p>
            <w:pPr>
              <w:spacing w:after="0"/>
              <w:jc w:val="right"/>
            </w:pPr>
            <w:r>
              <w:rPr>
                <w:sz w:val="18"/>
                <w:szCs w:val="18"/>
              </w:rPr>
              <w:t xml:space="preserve">10 725</w:t>
            </w:r>
          </w:p>
        </w:tc>
        <w:tc>
          <w:tcPr>
            <w:tcW w:w="1195" w:type="dxa"/>
          </w:tcPr>
          <w:p>
            <w:pPr>
              <w:spacing w:after="0"/>
              <w:jc w:val="right"/>
            </w:pPr>
            <w:r>
              <w:rPr>
                <w:sz w:val="18"/>
                <w:szCs w:val="18"/>
              </w:rPr>
              <w:t xml:space="preserve">19 139</w:t>
            </w:r>
          </w:p>
        </w:tc>
        <w:tc>
          <w:tcPr>
            <w:tcW w:w="1195" w:type="dxa"/>
          </w:tcPr>
          <w:p>
            <w:pPr>
              <w:spacing w:after="0"/>
              <w:jc w:val="right"/>
            </w:pPr>
            <w:r>
              <w:rPr>
                <w:sz w:val="18"/>
                <w:szCs w:val="18"/>
              </w:rPr>
              <w:t xml:space="preserve">−35,3 %</w:t>
            </w:r>
          </w:p>
        </w:tc>
        <w:tc>
          <w:tcPr>
            <w:tcW w:w="1195" w:type="dxa"/>
          </w:tcPr>
          <w:p>
            <w:pPr>
              <w:spacing w:after="0"/>
              <w:jc w:val="right"/>
            </w:pPr>
            <w:r>
              <w:rPr>
                <w:sz w:val="18"/>
                <w:szCs w:val="18"/>
              </w:rPr>
              <w:t xml:space="preserve">+78,5 %</w:t>
            </w:r>
          </w:p>
        </w:tc>
      </w:tr>
      <w:tr>
        <w:trPr>
          <w:cantSplit/>
        </w:trPr>
        <w:tc>
          <w:tcPr>
            <w:tcW w:w="3662" w:type="dxa"/>
          </w:tcPr>
          <w:p>
            <w:pPr>
              <w:spacing w:after="0"/>
              <w:jc w:val="left"/>
            </w:pPr>
            <w:r>
              <w:rPr>
                <w:sz w:val="18"/>
                <w:szCs w:val="18"/>
              </w:rPr>
              <w:t xml:space="preserve">Créances sur la clientèle</w:t>
            </w:r>
          </w:p>
        </w:tc>
        <w:tc>
          <w:tcPr>
            <w:tcW w:w="1195" w:type="dxa"/>
          </w:tcPr>
          <w:p>
            <w:pPr>
              <w:spacing w:after="0"/>
              <w:jc w:val="right"/>
            </w:pPr>
            <w:r>
              <w:rPr>
                <w:sz w:val="18"/>
                <w:szCs w:val="18"/>
              </w:rPr>
              <w:t xml:space="preserve">131 072</w:t>
            </w:r>
          </w:p>
        </w:tc>
        <w:tc>
          <w:tcPr>
            <w:tcW w:w="1195" w:type="dxa"/>
          </w:tcPr>
          <w:p>
            <w:pPr>
              <w:spacing w:after="0"/>
              <w:jc w:val="right"/>
            </w:pPr>
            <w:r>
              <w:rPr>
                <w:sz w:val="18"/>
                <w:szCs w:val="18"/>
              </w:rPr>
              <w:t xml:space="preserve">130 602</w:t>
            </w:r>
          </w:p>
        </w:tc>
        <w:tc>
          <w:tcPr>
            <w:tcW w:w="1195" w:type="dxa"/>
          </w:tcPr>
          <w:p>
            <w:pPr>
              <w:spacing w:after="0"/>
              <w:jc w:val="right"/>
            </w:pPr>
            <w:r>
              <w:rPr>
                <w:sz w:val="18"/>
                <w:szCs w:val="18"/>
              </w:rPr>
              <w:t xml:space="preserve">150 766</w:t>
            </w:r>
          </w:p>
        </w:tc>
        <w:tc>
          <w:tcPr>
            <w:tcW w:w="1195" w:type="dxa"/>
          </w:tcPr>
          <w:p>
            <w:pPr>
              <w:spacing w:after="0"/>
              <w:jc w:val="right"/>
            </w:pPr>
            <w:r>
              <w:rPr>
                <w:sz w:val="18"/>
                <w:szCs w:val="18"/>
              </w:rPr>
              <w:t xml:space="preserve">−0,4 %</w:t>
            </w:r>
          </w:p>
        </w:tc>
        <w:tc>
          <w:tcPr>
            <w:tcW w:w="1195" w:type="dxa"/>
          </w:tcPr>
          <w:p>
            <w:pPr>
              <w:spacing w:after="0"/>
              <w:jc w:val="right"/>
            </w:pPr>
            <w:r>
              <w:rPr>
                <w:sz w:val="18"/>
                <w:szCs w:val="18"/>
              </w:rPr>
              <w:t xml:space="preserve">+15,4 %</w:t>
            </w:r>
          </w:p>
        </w:tc>
      </w:tr>
      <w:tr>
        <w:trPr>
          <w:cantSplit/>
        </w:trPr>
        <w:tc>
          <w:tcPr>
            <w:tcW w:w="3662" w:type="dxa"/>
          </w:tcPr>
          <w:p>
            <w:pPr>
              <w:spacing w:after="0"/>
              <w:jc w:val="left"/>
            </w:pPr>
            <w:r>
              <w:rPr>
                <w:sz w:val="18"/>
                <w:szCs w:val="18"/>
              </w:rPr>
              <w:t xml:space="preserve">Obligations et autres titres à revenu fixe</w:t>
            </w:r>
          </w:p>
        </w:tc>
        <w:tc>
          <w:tcPr>
            <w:tcW w:w="1195" w:type="dxa"/>
          </w:tcPr>
          <w:p>
            <w:pPr>
              <w:spacing w:after="0"/>
              <w:jc w:val="right"/>
            </w:pPr>
            <w:r>
              <w:rPr>
                <w:sz w:val="18"/>
                <w:szCs w:val="18"/>
              </w:rPr>
              <w:t xml:space="preserve">1 812</w:t>
            </w:r>
          </w:p>
        </w:tc>
        <w:tc>
          <w:tcPr>
            <w:tcW w:w="1195" w:type="dxa"/>
          </w:tcPr>
          <w:p>
            <w:pPr>
              <w:spacing w:after="0"/>
              <w:jc w:val="right"/>
            </w:pPr>
            <w:r>
              <w:rPr>
                <w:sz w:val="18"/>
                <w:szCs w:val="18"/>
              </w:rPr>
              <w:t xml:space="preserve">1 510</w:t>
            </w:r>
          </w:p>
        </w:tc>
        <w:tc>
          <w:tcPr>
            <w:tcW w:w="1195" w:type="dxa"/>
          </w:tcPr>
          <w:p>
            <w:pPr>
              <w:spacing w:after="0"/>
              <w:jc w:val="right"/>
            </w:pPr>
            <w:r>
              <w:rPr>
                <w:sz w:val="18"/>
                <w:szCs w:val="18"/>
              </w:rPr>
              <w:t xml:space="preserve">1 073</w:t>
            </w:r>
          </w:p>
        </w:tc>
        <w:tc>
          <w:tcPr>
            <w:tcW w:w="1195" w:type="dxa"/>
          </w:tcPr>
          <w:p>
            <w:pPr>
              <w:spacing w:after="0"/>
              <w:jc w:val="right"/>
            </w:pPr>
            <w:r>
              <w:rPr>
                <w:sz w:val="18"/>
                <w:szCs w:val="18"/>
              </w:rPr>
              <w:t xml:space="preserve">−16,7 %</w:t>
            </w:r>
          </w:p>
        </w:tc>
        <w:tc>
          <w:tcPr>
            <w:tcW w:w="1195" w:type="dxa"/>
          </w:tcPr>
          <w:p>
            <w:pPr>
              <w:spacing w:after="0"/>
              <w:jc w:val="right"/>
            </w:pPr>
            <w:r>
              <w:rPr>
                <w:sz w:val="18"/>
                <w:szCs w:val="18"/>
              </w:rPr>
              <w:t xml:space="preserve">−28,9 %</w:t>
            </w:r>
          </w:p>
        </w:tc>
      </w:tr>
      <w:tr>
        <w:trPr>
          <w:cantSplit/>
        </w:trPr>
        <w:tc>
          <w:tcPr>
            <w:tcW w:w="3662" w:type="dxa"/>
          </w:tcPr>
          <w:p>
            <w:pPr>
              <w:spacing w:after="0"/>
              <w:jc w:val="left"/>
            </w:pPr>
            <w:r>
              <w:rPr>
                <w:sz w:val="18"/>
                <w:szCs w:val="18"/>
              </w:rPr>
              <w:t xml:space="preserve">Actions et autres titres à revenu variable</w:t>
            </w:r>
          </w:p>
        </w:tc>
        <w:tc>
          <w:tcPr>
            <w:tcW w:w="1195" w:type="dxa"/>
          </w:tcPr>
          <w:p>
            <w:pPr>
              <w:spacing w:after="0"/>
              <w:jc w:val="right"/>
            </w:pPr>
            <w:r>
              <w:rPr>
                <w:sz w:val="18"/>
                <w:szCs w:val="18"/>
              </w:rPr>
              <w:t xml:space="preserve">3 322</w:t>
            </w:r>
          </w:p>
        </w:tc>
        <w:tc>
          <w:tcPr>
            <w:tcW w:w="1195" w:type="dxa"/>
          </w:tcPr>
          <w:p>
            <w:pPr>
              <w:spacing w:after="0"/>
              <w:jc w:val="right"/>
            </w:pPr>
            <w:r>
              <w:rPr>
                <w:sz w:val="18"/>
                <w:szCs w:val="18"/>
              </w:rPr>
              <w:t xml:space="preserve">3 606</w:t>
            </w:r>
          </w:p>
        </w:tc>
        <w:tc>
          <w:tcPr>
            <w:tcW w:w="1195" w:type="dxa"/>
          </w:tcPr>
          <w:p>
            <w:pPr>
              <w:spacing w:after="0"/>
              <w:jc w:val="right"/>
            </w:pPr>
            <w:r>
              <w:rPr>
                <w:sz w:val="18"/>
                <w:szCs w:val="18"/>
              </w:rPr>
              <w:t xml:space="preserve">3 853</w:t>
            </w:r>
          </w:p>
        </w:tc>
        <w:tc>
          <w:tcPr>
            <w:tcW w:w="1195" w:type="dxa"/>
          </w:tcPr>
          <w:p>
            <w:pPr>
              <w:spacing w:after="0"/>
              <w:jc w:val="right"/>
            </w:pPr>
            <w:r>
              <w:rPr>
                <w:sz w:val="18"/>
                <w:szCs w:val="18"/>
              </w:rPr>
              <w:t xml:space="preserve">+8,5 %</w:t>
            </w:r>
          </w:p>
        </w:tc>
        <w:tc>
          <w:tcPr>
            <w:tcW w:w="1195" w:type="dxa"/>
          </w:tcPr>
          <w:p>
            <w:pPr>
              <w:spacing w:after="0"/>
              <w:jc w:val="right"/>
            </w:pPr>
            <w:r>
              <w:rPr>
                <w:sz w:val="18"/>
                <w:szCs w:val="18"/>
              </w:rPr>
              <w:t xml:space="preserve">+6,8 %</w:t>
            </w:r>
          </w:p>
        </w:tc>
      </w:tr>
      <w:tr>
        <w:trPr>
          <w:cantSplit/>
        </w:trPr>
        <w:tc>
          <w:tcPr>
            <w:tcW w:w="3662" w:type="dxa"/>
          </w:tcPr>
          <w:p>
            <w:pPr>
              <w:spacing w:after="0"/>
              <w:jc w:val="left"/>
            </w:pPr>
            <w:r>
              <w:rPr>
                <w:sz w:val="18"/>
                <w:szCs w:val="18"/>
              </w:rPr>
              <w:t xml:space="preserve">Actionnaires ou associés</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Autres actifs</w:t>
            </w:r>
          </w:p>
        </w:tc>
        <w:tc>
          <w:tcPr>
            <w:tcW w:w="1195" w:type="dxa"/>
          </w:tcPr>
          <w:p>
            <w:pPr>
              <w:spacing w:after="0"/>
              <w:jc w:val="right"/>
            </w:pPr>
            <w:r>
              <w:rPr>
                <w:sz w:val="18"/>
                <w:szCs w:val="18"/>
              </w:rPr>
              <w:t xml:space="preserve">12 338</w:t>
            </w:r>
          </w:p>
        </w:tc>
        <w:tc>
          <w:tcPr>
            <w:tcW w:w="1195" w:type="dxa"/>
          </w:tcPr>
          <w:p>
            <w:pPr>
              <w:spacing w:after="0"/>
              <w:jc w:val="right"/>
            </w:pPr>
            <w:r>
              <w:rPr>
                <w:sz w:val="18"/>
                <w:szCs w:val="18"/>
              </w:rPr>
              <w:t xml:space="preserve">2 450</w:t>
            </w:r>
          </w:p>
        </w:tc>
        <w:tc>
          <w:tcPr>
            <w:tcW w:w="1195" w:type="dxa"/>
          </w:tcPr>
          <w:p>
            <w:pPr>
              <w:spacing w:after="0"/>
              <w:jc w:val="right"/>
            </w:pPr>
            <w:r>
              <w:rPr>
                <w:sz w:val="18"/>
                <w:szCs w:val="18"/>
              </w:rPr>
              <w:t xml:space="preserve">1 873</w:t>
            </w:r>
          </w:p>
        </w:tc>
        <w:tc>
          <w:tcPr>
            <w:tcW w:w="1195" w:type="dxa"/>
          </w:tcPr>
          <w:p>
            <w:pPr>
              <w:spacing w:after="0"/>
              <w:jc w:val="right"/>
            </w:pPr>
            <w:r>
              <w:rPr>
                <w:sz w:val="18"/>
                <w:szCs w:val="18"/>
              </w:rPr>
              <w:t xml:space="preserve">−80,1 %</w:t>
            </w:r>
          </w:p>
        </w:tc>
        <w:tc>
          <w:tcPr>
            <w:tcW w:w="1195" w:type="dxa"/>
          </w:tcPr>
          <w:p>
            <w:pPr>
              <w:spacing w:after="0"/>
              <w:jc w:val="right"/>
            </w:pPr>
            <w:r>
              <w:rPr>
                <w:sz w:val="18"/>
                <w:szCs w:val="18"/>
              </w:rPr>
              <w:t xml:space="preserve">−23,6 %</w:t>
            </w:r>
          </w:p>
        </w:tc>
      </w:tr>
      <w:tr>
        <w:trPr>
          <w:cantSplit/>
        </w:trPr>
        <w:tc>
          <w:tcPr>
            <w:tcW w:w="3662" w:type="dxa"/>
          </w:tcPr>
          <w:p>
            <w:pPr>
              <w:spacing w:after="0"/>
              <w:jc w:val="left"/>
            </w:pPr>
            <w:r>
              <w:rPr>
                <w:sz w:val="18"/>
                <w:szCs w:val="18"/>
              </w:rPr>
              <w:t xml:space="preserve">Comptes de régularisation (actif)</w:t>
            </w:r>
          </w:p>
        </w:tc>
        <w:tc>
          <w:tcPr>
            <w:tcW w:w="1195" w:type="dxa"/>
          </w:tcPr>
          <w:p>
            <w:pPr>
              <w:spacing w:after="0"/>
              <w:jc w:val="right"/>
            </w:pPr>
            <w:r>
              <w:rPr>
                <w:sz w:val="18"/>
                <w:szCs w:val="18"/>
              </w:rPr>
              <w:t xml:space="preserve">1 186</w:t>
            </w:r>
          </w:p>
        </w:tc>
        <w:tc>
          <w:tcPr>
            <w:tcW w:w="1195" w:type="dxa"/>
          </w:tcPr>
          <w:p>
            <w:pPr>
              <w:spacing w:after="0"/>
              <w:jc w:val="right"/>
            </w:pPr>
            <w:r>
              <w:rPr>
                <w:sz w:val="18"/>
                <w:szCs w:val="18"/>
              </w:rPr>
              <w:t xml:space="preserve">898</w:t>
            </w:r>
          </w:p>
        </w:tc>
        <w:tc>
          <w:tcPr>
            <w:tcW w:w="1195" w:type="dxa"/>
          </w:tcPr>
          <w:p>
            <w:pPr>
              <w:spacing w:after="0"/>
              <w:jc w:val="right"/>
            </w:pPr>
            <w:r>
              <w:rPr>
                <w:sz w:val="18"/>
                <w:szCs w:val="18"/>
              </w:rPr>
              <w:t xml:space="preserve">626</w:t>
            </w:r>
          </w:p>
        </w:tc>
        <w:tc>
          <w:tcPr>
            <w:tcW w:w="1195" w:type="dxa"/>
          </w:tcPr>
          <w:p>
            <w:pPr>
              <w:spacing w:after="0"/>
              <w:jc w:val="right"/>
            </w:pPr>
            <w:r>
              <w:rPr>
                <w:sz w:val="18"/>
                <w:szCs w:val="18"/>
              </w:rPr>
              <w:t xml:space="preserve">−24,3 %</w:t>
            </w:r>
          </w:p>
        </w:tc>
        <w:tc>
          <w:tcPr>
            <w:tcW w:w="1195" w:type="dxa"/>
          </w:tcPr>
          <w:p>
            <w:pPr>
              <w:spacing w:after="0"/>
              <w:jc w:val="right"/>
            </w:pPr>
            <w:r>
              <w:rPr>
                <w:sz w:val="18"/>
                <w:szCs w:val="18"/>
              </w:rPr>
              <w:t xml:space="preserve">−30,3 %</w:t>
            </w:r>
          </w:p>
        </w:tc>
      </w:tr>
      <w:tr>
        <w:trPr>
          <w:cantSplit/>
        </w:trPr>
        <w:tc>
          <w:tcPr>
            <w:tcW w:w="3662" w:type="dxa"/>
          </w:tcPr>
          <w:p>
            <w:pPr>
              <w:spacing w:after="0"/>
              <w:jc w:val="left"/>
            </w:pPr>
            <w:r>
              <w:rPr>
                <w:sz w:val="18"/>
                <w:szCs w:val="18"/>
              </w:rPr>
              <w:t xml:space="preserve">Participations et autres titres détenus à long terme</w:t>
            </w:r>
          </w:p>
        </w:tc>
        <w:tc>
          <w:tcPr>
            <w:tcW w:w="1195" w:type="dxa"/>
          </w:tcPr>
          <w:p>
            <w:pPr>
              <w:spacing w:after="0"/>
              <w:jc w:val="right"/>
            </w:pPr>
            <w:r>
              <w:rPr>
                <w:sz w:val="18"/>
                <w:szCs w:val="18"/>
              </w:rPr>
              <w:t xml:space="preserve">178</w:t>
            </w:r>
          </w:p>
        </w:tc>
        <w:tc>
          <w:tcPr>
            <w:tcW w:w="1195" w:type="dxa"/>
          </w:tcPr>
          <w:p>
            <w:pPr>
              <w:spacing w:after="0"/>
              <w:jc w:val="right"/>
            </w:pPr>
            <w:r>
              <w:rPr>
                <w:sz w:val="18"/>
                <w:szCs w:val="18"/>
              </w:rPr>
              <w:t xml:space="preserve">178</w:t>
            </w:r>
          </w:p>
        </w:tc>
        <w:tc>
          <w:tcPr>
            <w:tcW w:w="1195" w:type="dxa"/>
          </w:tcPr>
          <w:p>
            <w:pPr>
              <w:spacing w:after="0"/>
              <w:jc w:val="right"/>
            </w:pPr>
            <w:r>
              <w:rPr>
                <w:sz w:val="18"/>
                <w:szCs w:val="18"/>
              </w:rPr>
              <w:t xml:space="preserve">178</w:t>
            </w:r>
          </w:p>
        </w:tc>
        <w:tc>
          <w:tcPr>
            <w:tcW w:w="1195" w:type="dxa"/>
          </w:tcPr>
          <w:p>
            <w:pPr>
              <w:spacing w:after="0"/>
              <w:jc w:val="right"/>
            </w:pPr>
            <w:r>
              <w:rPr>
                <w:sz w:val="18"/>
                <w:szCs w:val="18"/>
              </w:rPr>
              <w:t xml:space="preserve">+0,0 %</w:t>
            </w:r>
          </w:p>
        </w:tc>
        <w:tc>
          <w:tcPr>
            <w:tcW w:w="1195" w:type="dxa"/>
          </w:tcPr>
          <w:p>
            <w:pPr>
              <w:spacing w:after="0"/>
              <w:jc w:val="right"/>
            </w:pPr>
            <w:r>
              <w:rPr>
                <w:sz w:val="18"/>
                <w:szCs w:val="18"/>
              </w:rPr>
              <w:t xml:space="preserve">+0,0 %</w:t>
            </w:r>
          </w:p>
        </w:tc>
      </w:tr>
      <w:tr>
        <w:trPr>
          <w:cantSplit/>
        </w:trPr>
        <w:tc>
          <w:tcPr>
            <w:tcW w:w="3662" w:type="dxa"/>
          </w:tcPr>
          <w:p>
            <w:pPr>
              <w:spacing w:after="0"/>
              <w:jc w:val="left"/>
            </w:pPr>
            <w:r>
              <w:rPr>
                <w:sz w:val="18"/>
                <w:szCs w:val="18"/>
              </w:rPr>
              <w:t xml:space="preserve">Parts dans les entreprises liées</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Prêts subordonnés</w:t>
            </w:r>
          </w:p>
        </w:tc>
        <w:tc>
          <w:tcPr>
            <w:tcW w:w="1195" w:type="dxa"/>
          </w:tcPr>
          <w:p>
            <w:pPr>
              <w:spacing w:after="0"/>
              <w:jc w:val="right"/>
            </w:pPr>
            <w:r>
              <w:rPr>
                <w:sz w:val="18"/>
                <w:szCs w:val="18"/>
              </w:rPr>
              <w:t xml:space="preserve">238</w:t>
            </w:r>
          </w:p>
        </w:tc>
        <w:tc>
          <w:tcPr>
            <w:tcW w:w="1195" w:type="dxa"/>
          </w:tcPr>
          <w:p>
            <w:pPr>
              <w:spacing w:after="0"/>
              <w:jc w:val="right"/>
            </w:pPr>
            <w:r>
              <w:rPr>
                <w:sz w:val="18"/>
                <w:szCs w:val="18"/>
              </w:rPr>
              <w:t xml:space="preserve">248</w:t>
            </w:r>
          </w:p>
        </w:tc>
        <w:tc>
          <w:tcPr>
            <w:tcW w:w="1195" w:type="dxa"/>
          </w:tcPr>
          <w:p>
            <w:pPr>
              <w:spacing w:after="0"/>
              <w:jc w:val="right"/>
            </w:pPr>
            <w:r>
              <w:rPr>
                <w:sz w:val="18"/>
                <w:szCs w:val="18"/>
              </w:rPr>
              <w:t xml:space="preserve">258</w:t>
            </w:r>
          </w:p>
        </w:tc>
        <w:tc>
          <w:tcPr>
            <w:tcW w:w="1195" w:type="dxa"/>
          </w:tcPr>
          <w:p>
            <w:pPr>
              <w:spacing w:after="0"/>
              <w:jc w:val="right"/>
            </w:pPr>
            <w:r>
              <w:rPr>
                <w:sz w:val="18"/>
                <w:szCs w:val="18"/>
              </w:rPr>
              <w:t xml:space="preserve">+4,2 %</w:t>
            </w:r>
          </w:p>
        </w:tc>
        <w:tc>
          <w:tcPr>
            <w:tcW w:w="1195" w:type="dxa"/>
          </w:tcPr>
          <w:p>
            <w:pPr>
              <w:spacing w:after="0"/>
              <w:jc w:val="right"/>
            </w:pPr>
            <w:r>
              <w:rPr>
                <w:sz w:val="18"/>
                <w:szCs w:val="18"/>
              </w:rPr>
              <w:t xml:space="preserve">+4,0 %</w:t>
            </w:r>
          </w:p>
        </w:tc>
      </w:tr>
      <w:tr>
        <w:trPr>
          <w:cantSplit/>
        </w:trPr>
        <w:tc>
          <w:tcPr>
            <w:tcW w:w="3662" w:type="dxa"/>
          </w:tcPr>
          <w:p>
            <w:pPr>
              <w:spacing w:after="0"/>
              <w:jc w:val="left"/>
            </w:pPr>
            <w:r>
              <w:rPr>
                <w:sz w:val="18"/>
                <w:szCs w:val="18"/>
              </w:rPr>
              <w:t xml:space="preserve">Immobilisations incorporelles</w:t>
            </w:r>
          </w:p>
        </w:tc>
        <w:tc>
          <w:tcPr>
            <w:tcW w:w="1195" w:type="dxa"/>
          </w:tcPr>
          <w:p>
            <w:pPr>
              <w:spacing w:after="0"/>
              <w:jc w:val="right"/>
            </w:pPr>
            <w:r>
              <w:rPr>
                <w:sz w:val="18"/>
                <w:szCs w:val="18"/>
              </w:rPr>
              <w:t xml:space="preserve">2</w:t>
            </w:r>
          </w:p>
        </w:tc>
        <w:tc>
          <w:tcPr>
            <w:tcW w:w="1195" w:type="dxa"/>
          </w:tcPr>
          <w:p>
            <w:pPr>
              <w:spacing w:after="0"/>
              <w:jc w:val="right"/>
            </w:pPr>
            <w:r>
              <w:rPr>
                <w:sz w:val="18"/>
                <w:szCs w:val="18"/>
              </w:rPr>
              <w:t xml:space="preserve">59</w:t>
            </w:r>
          </w:p>
        </w:tc>
        <w:tc>
          <w:tcPr>
            <w:tcW w:w="1195" w:type="dxa"/>
          </w:tcPr>
          <w:p>
            <w:pPr>
              <w:spacing w:after="0"/>
              <w:jc w:val="right"/>
            </w:pPr>
            <w:r>
              <w:rPr>
                <w:sz w:val="18"/>
                <w:szCs w:val="18"/>
              </w:rPr>
              <w:t xml:space="preserve">61</w:t>
            </w:r>
          </w:p>
        </w:tc>
        <w:tc>
          <w:tcPr>
            <w:tcW w:w="1195" w:type="dxa"/>
          </w:tcPr>
          <w:p>
            <w:pPr>
              <w:spacing w:after="0"/>
              <w:jc w:val="right"/>
            </w:pPr>
            <w:r>
              <w:rPr>
                <w:sz w:val="18"/>
                <w:szCs w:val="18"/>
              </w:rPr>
              <w:t xml:space="preserve">+2 850,0 %</w:t>
            </w:r>
          </w:p>
        </w:tc>
        <w:tc>
          <w:tcPr>
            <w:tcW w:w="1195" w:type="dxa"/>
          </w:tcPr>
          <w:p>
            <w:pPr>
              <w:spacing w:after="0"/>
              <w:jc w:val="right"/>
            </w:pPr>
            <w:r>
              <w:rPr>
                <w:sz w:val="18"/>
                <w:szCs w:val="18"/>
              </w:rPr>
              <w:t xml:space="preserve">+3,4 %</w:t>
            </w:r>
          </w:p>
        </w:tc>
      </w:tr>
      <w:tr>
        <w:trPr>
          <w:cantSplit/>
        </w:trPr>
        <w:tc>
          <w:tcPr>
            <w:tcW w:w="3662" w:type="dxa"/>
          </w:tcPr>
          <w:p>
            <w:pPr>
              <w:spacing w:after="0"/>
              <w:jc w:val="left"/>
            </w:pPr>
            <w:r>
              <w:rPr>
                <w:sz w:val="18"/>
                <w:szCs w:val="18"/>
              </w:rPr>
              <w:t xml:space="preserve">Immobilisations corporelles</w:t>
            </w:r>
          </w:p>
        </w:tc>
        <w:tc>
          <w:tcPr>
            <w:tcW w:w="1195" w:type="dxa"/>
          </w:tcPr>
          <w:p>
            <w:pPr>
              <w:spacing w:after="0"/>
              <w:jc w:val="right"/>
            </w:pPr>
            <w:r>
              <w:rPr>
                <w:sz w:val="18"/>
                <w:szCs w:val="18"/>
              </w:rPr>
              <w:t xml:space="preserve">17 369</w:t>
            </w:r>
          </w:p>
        </w:tc>
        <w:tc>
          <w:tcPr>
            <w:tcW w:w="1195" w:type="dxa"/>
          </w:tcPr>
          <w:p>
            <w:pPr>
              <w:spacing w:after="0"/>
              <w:jc w:val="right"/>
            </w:pPr>
            <w:r>
              <w:rPr>
                <w:sz w:val="18"/>
                <w:szCs w:val="18"/>
              </w:rPr>
              <w:t xml:space="preserve">16 602</w:t>
            </w:r>
          </w:p>
        </w:tc>
        <w:tc>
          <w:tcPr>
            <w:tcW w:w="1195" w:type="dxa"/>
          </w:tcPr>
          <w:p>
            <w:pPr>
              <w:spacing w:after="0"/>
              <w:jc w:val="right"/>
            </w:pPr>
            <w:r>
              <w:rPr>
                <w:sz w:val="18"/>
                <w:szCs w:val="18"/>
              </w:rPr>
              <w:t xml:space="preserve">17 458</w:t>
            </w:r>
          </w:p>
        </w:tc>
        <w:tc>
          <w:tcPr>
            <w:tcW w:w="1195" w:type="dxa"/>
          </w:tcPr>
          <w:p>
            <w:pPr>
              <w:spacing w:after="0"/>
              <w:jc w:val="right"/>
            </w:pPr>
            <w:r>
              <w:rPr>
                <w:sz w:val="18"/>
                <w:szCs w:val="18"/>
              </w:rPr>
              <w:t xml:space="preserve">−4,4 %</w:t>
            </w:r>
          </w:p>
        </w:tc>
        <w:tc>
          <w:tcPr>
            <w:tcW w:w="1195" w:type="dxa"/>
          </w:tcPr>
          <w:p>
            <w:pPr>
              <w:spacing w:after="0"/>
              <w:jc w:val="right"/>
            </w:pPr>
            <w:r>
              <w:rPr>
                <w:sz w:val="18"/>
                <w:szCs w:val="18"/>
              </w:rPr>
              <w:t xml:space="preserve">+5,2 %</w:t>
            </w:r>
          </w:p>
        </w:tc>
      </w:tr>
      <w:tr>
        <w:trPr>
          <w:cantSplit/>
        </w:trPr>
        <w:tc>
          <w:tcPr>
            <w:tcW w:w="3662" w:type="dxa"/>
            <w:shd w:val="clear" w:color="auto" w:fill="F5F7F5"/>
          </w:tcPr>
          <w:p>
            <w:pPr>
              <w:spacing w:after="0"/>
              <w:jc w:val="left"/>
            </w:pPr>
            <w:r>
              <w:rPr>
                <w:b/>
                <w:sz w:val="18"/>
                <w:szCs w:val="18"/>
              </w:rPr>
              <w:t xml:space="preserve">Total actif</w:t>
            </w:r>
          </w:p>
        </w:tc>
        <w:tc>
          <w:tcPr>
            <w:tcW w:w="1195" w:type="dxa"/>
            <w:shd w:val="clear" w:color="auto" w:fill="F5F7F5"/>
          </w:tcPr>
          <w:p>
            <w:pPr>
              <w:spacing w:after="0"/>
              <w:jc w:val="right"/>
            </w:pPr>
            <w:r>
              <w:rPr>
                <w:b/>
                <w:sz w:val="18"/>
                <w:szCs w:val="18"/>
              </w:rPr>
              <w:t xml:space="preserve">301 931</w:t>
            </w:r>
          </w:p>
        </w:tc>
        <w:tc>
          <w:tcPr>
            <w:tcW w:w="1195" w:type="dxa"/>
            <w:shd w:val="clear" w:color="auto" w:fill="F5F7F5"/>
          </w:tcPr>
          <w:p>
            <w:pPr>
              <w:spacing w:after="0"/>
              <w:jc w:val="right"/>
            </w:pPr>
            <w:r>
              <w:rPr>
                <w:b/>
                <w:sz w:val="18"/>
                <w:szCs w:val="18"/>
              </w:rPr>
              <w:t xml:space="preserve">269 088</w:t>
            </w:r>
          </w:p>
        </w:tc>
        <w:tc>
          <w:tcPr>
            <w:tcW w:w="1195" w:type="dxa"/>
            <w:shd w:val="clear" w:color="auto" w:fill="F5F7F5"/>
          </w:tcPr>
          <w:p>
            <w:pPr>
              <w:spacing w:after="0"/>
              <w:jc w:val="right"/>
            </w:pPr>
            <w:r>
              <w:rPr>
                <w:b/>
                <w:sz w:val="18"/>
                <w:szCs w:val="18"/>
              </w:rPr>
              <w:t xml:space="preserve">295 660</w:t>
            </w:r>
          </w:p>
        </w:tc>
        <w:tc>
          <w:tcPr>
            <w:tcW w:w="1195" w:type="dxa"/>
            <w:shd w:val="clear" w:color="auto" w:fill="F5F7F5"/>
          </w:tcPr>
          <w:p>
            <w:pPr>
              <w:spacing w:after="0"/>
              <w:jc w:val="right"/>
            </w:pPr>
            <w:r>
              <w:rPr>
                <w:b/>
                <w:sz w:val="18"/>
                <w:szCs w:val="18"/>
              </w:rPr>
              <w:t xml:space="preserve">−10,9 %</w:t>
            </w:r>
          </w:p>
        </w:tc>
        <w:tc>
          <w:tcPr>
            <w:tcW w:w="1195" w:type="dxa"/>
            <w:shd w:val="clear" w:color="auto" w:fill="F5F7F5"/>
          </w:tcPr>
          <w:p>
            <w:pPr>
              <w:spacing w:after="0"/>
              <w:jc w:val="right"/>
            </w:pPr>
            <w:r>
              <w:rPr>
                <w:b/>
                <w:sz w:val="18"/>
                <w:szCs w:val="18"/>
              </w:rPr>
              <w:t xml:space="preserve">+9,9 %</w:t>
            </w:r>
          </w:p>
        </w:tc>
      </w:tr>
    </w:tbl>
    <w:p>
      <w:pPr>
        <w:spacing w:after="60"/>
      </w:pPr>
    </w:p>
    <w:p>
      <w:r>
        <w:t xml:space="preserve">Le total du bilan progresse de </w:t>
      </w:r>
      <w:r>
        <w:rPr>
          <w:b/>
        </w:rPr>
        <w:t xml:space="preserve">9,9 %</w:t>
      </w:r>
      <w:r>
        <w:t xml:space="preserve"> en 2023 (+26 572 M). Principaux mouvements :</w:t>
      </w:r>
    </w:p>
    <w:p>
      <w:pPr>
        <w:ind w:left="360" w:hanging="220"/>
      </w:pPr>
      <w:r>
        <w:t xml:space="preserve">•  </w:t>
      </w:r>
      <w:r>
        <w:rPr>
          <w:b/>
        </w:rPr>
        <w:t xml:space="preserve">Créances clientèle</w:t>
      </w:r>
      <w:r>
        <w:t xml:space="preserve"> : +20 164 M (+15,4 %)</w:t>
      </w:r>
    </w:p>
    <w:p>
      <w:pPr>
        <w:ind w:left="360" w:hanging="220"/>
      </w:pPr>
      <w:r>
        <w:t xml:space="preserve">•  </w:t>
      </w:r>
      <w:r>
        <w:rPr>
          <w:b/>
        </w:rPr>
        <w:t xml:space="preserve">Effets publics</w:t>
      </w:r>
      <w:r>
        <w:t xml:space="preserve"> : −9 361 M (−10,7 %)</w:t>
      </w:r>
    </w:p>
    <w:p>
      <w:pPr>
        <w:ind w:left="360" w:hanging="220"/>
      </w:pPr>
      <w:r>
        <w:t xml:space="preserve">•  </w:t>
      </w:r>
      <w:r>
        <w:rPr>
          <w:b/>
        </w:rPr>
        <w:t xml:space="preserve">Créances interbancaires</w:t>
      </w:r>
      <w:r>
        <w:t xml:space="preserve"> : +8 414 M (+78,5 %)</w:t>
      </w:r>
    </w:p>
    <w:p>
      <w:pPr>
        <w:ind w:left="360" w:hanging="220"/>
      </w:pPr>
      <w:r>
        <w:t xml:space="preserve">•  </w:t>
      </w:r>
      <w:r>
        <w:rPr>
          <w:b/>
        </w:rPr>
        <w:t xml:space="preserve">Caisse &amp; banque centrale</w:t>
      </w:r>
      <w:r>
        <w:t xml:space="preserve"> : +7 526 M (+52,1 %)</w:t>
      </w:r>
    </w:p>
    <w:p>
      <w:pPr>
        <w:keepNext/>
        <w:spacing w:after="0"/>
      </w:pPr>
      <w:r>
        <w:drawing>
          <wp:inline distT="0" distB="0" distL="0" distR="0">
            <wp:extent cx="5400000" cy="1873125"/>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1.png"/>
                    <pic:cNvPicPr/>
                  </pic:nvPicPr>
                  <pic:blipFill>
                    <a:blip r:embed="rIdImg1"/>
                    <a:stretch>
                      <a:fillRect/>
                    </a:stretch>
                  </pic:blipFill>
                  <pic:spPr>
                    <a:xfrm>
                      <a:off x="0" y="0"/>
                      <a:ext cx="5400000" cy="1873125"/>
                    </a:xfrm>
                    <a:prstGeom prst="rect">
                      <a:avLst/>
                    </a:prstGeom>
                  </pic:spPr>
                </pic:pic>
              </a:graphicData>
            </a:graphic>
          </wp:inline>
        </w:drawing>
      </w:r>
    </w:p>
    <w:p>
      <w:pPr>
        <w:spacing w:after="160"/>
      </w:pPr>
      <w:r>
        <w:rPr>
          <w:i/>
          <w:color w:val="6B7770"/>
          <w:sz w:val="17"/>
          <w:szCs w:val="17"/>
        </w:rPr>
        <w:t xml:space="preserve">Figure 1 – Structure du actif par exercice (Trésorerie &amp; interbancaire, Titres, Crédits clientèle, Immobilisations &amp; participations, Autres)</w:t>
      </w:r>
    </w:p>
    <w:p>
      <w:pPr>
        <w:pStyle w:val="Heading2"/>
        <w:keepNext/>
      </w:pPr>
      <w:r>
        <w:t xml:space="preserve">Passif</w:t>
      </w:r>
    </w:p>
    <w:tbl>
      <w:tblPr>
        <w:tblStyle w:val="Grille"/>
        <w:tblW w:w="5000" w:type="pct"/>
        <w:tblLayout w:type="autofit"/>
      </w:tblPr>
      <w:tblGrid>
        <w:gridCol w:w="3662"/>
        <w:gridCol w:w="1195"/>
        <w:gridCol w:w="1195"/>
        <w:gridCol w:w="1195"/>
        <w:gridCol w:w="1195"/>
        <w:gridCol w:w="1195"/>
      </w:tblGrid>
      <w:tr>
        <w:trPr>
          <w:tblHeader/>
          <w:cantSplit/>
        </w:trPr>
        <w:tc>
          <w:tcPr>
            <w:tcW w:w="3662" w:type="dxa"/>
            <w:shd w:val="clear" w:color="auto" w:fill="E8EDE8"/>
          </w:tcPr>
          <w:p>
            <w:pPr>
              <w:spacing w:after="0"/>
              <w:jc w:val="left"/>
            </w:pPr>
            <w:r>
              <w:rPr>
                <w:b/>
                <w:sz w:val="17"/>
                <w:szCs w:val="17"/>
              </w:rPr>
              <w:t xml:space="preserve">Poste</w:t>
            </w:r>
          </w:p>
        </w:tc>
        <w:tc>
          <w:tcPr>
            <w:tcW w:w="1195" w:type="dxa"/>
            <w:shd w:val="clear" w:color="auto" w:fill="E8EDE8"/>
          </w:tcPr>
          <w:p>
            <w:pPr>
              <w:spacing w:after="0"/>
              <w:jc w:val="right"/>
            </w:pPr>
            <w:r>
              <w:rPr>
                <w:b/>
                <w:sz w:val="17"/>
                <w:szCs w:val="17"/>
              </w:rPr>
              <w:t xml:space="preserve">2021</w:t>
            </w:r>
          </w:p>
        </w:tc>
        <w:tc>
          <w:tcPr>
            <w:tcW w:w="1195" w:type="dxa"/>
            <w:shd w:val="clear" w:color="auto" w:fill="E8EDE8"/>
          </w:tcPr>
          <w:p>
            <w:pPr>
              <w:spacing w:after="0"/>
              <w:jc w:val="right"/>
            </w:pPr>
            <w:r>
              <w:rPr>
                <w:b/>
                <w:sz w:val="17"/>
                <w:szCs w:val="17"/>
              </w:rPr>
              <w:t xml:space="preserve">2022</w:t>
            </w:r>
          </w:p>
        </w:tc>
        <w:tc>
          <w:tcPr>
            <w:tcW w:w="1195" w:type="dxa"/>
            <w:shd w:val="clear" w:color="auto" w:fill="E8EDE8"/>
          </w:tcPr>
          <w:p>
            <w:pPr>
              <w:spacing w:after="0"/>
              <w:jc w:val="right"/>
            </w:pPr>
            <w:r>
              <w:rPr>
                <w:b/>
                <w:sz w:val="17"/>
                <w:szCs w:val="17"/>
              </w:rPr>
              <w:t xml:space="preserve">2023</w:t>
            </w:r>
          </w:p>
        </w:tc>
        <w:tc>
          <w:tcPr>
            <w:tcW w:w="1195" w:type="dxa"/>
            <w:shd w:val="clear" w:color="auto" w:fill="E8EDE8"/>
          </w:tcPr>
          <w:p>
            <w:pPr>
              <w:spacing w:after="0"/>
              <w:jc w:val="right"/>
            </w:pPr>
            <w:r>
              <w:rPr>
                <w:b/>
                <w:sz w:val="17"/>
                <w:szCs w:val="17"/>
              </w:rPr>
              <w:t xml:space="preserve">Δ% 2022</w:t>
            </w:r>
          </w:p>
        </w:tc>
        <w:tc>
          <w:tcPr>
            <w:tcW w:w="1195" w:type="dxa"/>
            <w:shd w:val="clear" w:color="auto" w:fill="E8EDE8"/>
          </w:tcPr>
          <w:p>
            <w:pPr>
              <w:spacing w:after="0"/>
              <w:jc w:val="right"/>
            </w:pPr>
            <w:r>
              <w:rPr>
                <w:b/>
                <w:sz w:val="17"/>
                <w:szCs w:val="17"/>
              </w:rPr>
              <w:t xml:space="preserve">Δ% 2023</w:t>
            </w:r>
          </w:p>
        </w:tc>
      </w:tr>
      <w:tr>
        <w:trPr>
          <w:cantSplit/>
        </w:trPr>
        <w:tc>
          <w:tcPr>
            <w:tcW w:w="3662" w:type="dxa"/>
          </w:tcPr>
          <w:p>
            <w:pPr>
              <w:spacing w:after="0"/>
              <w:jc w:val="left"/>
            </w:pPr>
            <w:r>
              <w:rPr>
                <w:sz w:val="18"/>
                <w:szCs w:val="18"/>
              </w:rPr>
              <w:t xml:space="preserve">Banque centrale, CCP</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Dettes interbancaires et assimilées</w:t>
            </w:r>
          </w:p>
        </w:tc>
        <w:tc>
          <w:tcPr>
            <w:tcW w:w="1195" w:type="dxa"/>
          </w:tcPr>
          <w:p>
            <w:pPr>
              <w:spacing w:after="0"/>
              <w:jc w:val="right"/>
            </w:pPr>
            <w:r>
              <w:rPr>
                <w:sz w:val="18"/>
                <w:szCs w:val="18"/>
              </w:rPr>
              <w:t xml:space="preserve">55 259</w:t>
            </w:r>
          </w:p>
        </w:tc>
        <w:tc>
          <w:tcPr>
            <w:tcW w:w="1195" w:type="dxa"/>
          </w:tcPr>
          <w:p>
            <w:pPr>
              <w:spacing w:after="0"/>
              <w:jc w:val="right"/>
            </w:pPr>
            <w:r>
              <w:rPr>
                <w:sz w:val="18"/>
                <w:szCs w:val="18"/>
              </w:rPr>
              <w:t xml:space="preserve">50 736</w:t>
            </w:r>
          </w:p>
        </w:tc>
        <w:tc>
          <w:tcPr>
            <w:tcW w:w="1195" w:type="dxa"/>
          </w:tcPr>
          <w:p>
            <w:pPr>
              <w:spacing w:after="0"/>
              <w:jc w:val="right"/>
            </w:pPr>
            <w:r>
              <w:rPr>
                <w:sz w:val="18"/>
                <w:szCs w:val="18"/>
              </w:rPr>
              <w:t xml:space="preserve">64 941</w:t>
            </w:r>
          </w:p>
        </w:tc>
        <w:tc>
          <w:tcPr>
            <w:tcW w:w="1195" w:type="dxa"/>
          </w:tcPr>
          <w:p>
            <w:pPr>
              <w:spacing w:after="0"/>
              <w:jc w:val="right"/>
            </w:pPr>
            <w:r>
              <w:rPr>
                <w:sz w:val="18"/>
                <w:szCs w:val="18"/>
              </w:rPr>
              <w:t xml:space="preserve">−8,2 %</w:t>
            </w:r>
          </w:p>
        </w:tc>
        <w:tc>
          <w:tcPr>
            <w:tcW w:w="1195" w:type="dxa"/>
          </w:tcPr>
          <w:p>
            <w:pPr>
              <w:spacing w:after="0"/>
              <w:jc w:val="right"/>
            </w:pPr>
            <w:r>
              <w:rPr>
                <w:sz w:val="18"/>
                <w:szCs w:val="18"/>
              </w:rPr>
              <w:t xml:space="preserve">+28,0 %</w:t>
            </w:r>
          </w:p>
        </w:tc>
      </w:tr>
      <w:tr>
        <w:trPr>
          <w:cantSplit/>
        </w:trPr>
        <w:tc>
          <w:tcPr>
            <w:tcW w:w="3662" w:type="dxa"/>
          </w:tcPr>
          <w:p>
            <w:pPr>
              <w:spacing w:after="0"/>
              <w:jc w:val="left"/>
            </w:pPr>
            <w:r>
              <w:rPr>
                <w:sz w:val="18"/>
                <w:szCs w:val="18"/>
              </w:rPr>
              <w:t xml:space="preserve">Dettes à l'égard de la clientèle</w:t>
            </w:r>
          </w:p>
        </w:tc>
        <w:tc>
          <w:tcPr>
            <w:tcW w:w="1195" w:type="dxa"/>
          </w:tcPr>
          <w:p>
            <w:pPr>
              <w:spacing w:after="0"/>
              <w:jc w:val="right"/>
            </w:pPr>
            <w:r>
              <w:rPr>
                <w:sz w:val="18"/>
                <w:szCs w:val="18"/>
              </w:rPr>
              <w:t xml:space="preserve">218 985</w:t>
            </w:r>
          </w:p>
        </w:tc>
        <w:tc>
          <w:tcPr>
            <w:tcW w:w="1195" w:type="dxa"/>
          </w:tcPr>
          <w:p>
            <w:pPr>
              <w:spacing w:after="0"/>
              <w:jc w:val="right"/>
            </w:pPr>
            <w:r>
              <w:rPr>
                <w:sz w:val="18"/>
                <w:szCs w:val="18"/>
              </w:rPr>
              <w:t xml:space="preserve">187 843</w:t>
            </w:r>
          </w:p>
        </w:tc>
        <w:tc>
          <w:tcPr>
            <w:tcW w:w="1195" w:type="dxa"/>
          </w:tcPr>
          <w:p>
            <w:pPr>
              <w:spacing w:after="0"/>
              <w:jc w:val="right"/>
            </w:pPr>
            <w:r>
              <w:rPr>
                <w:sz w:val="18"/>
                <w:szCs w:val="18"/>
              </w:rPr>
              <w:t xml:space="preserve">196 626</w:t>
            </w:r>
          </w:p>
        </w:tc>
        <w:tc>
          <w:tcPr>
            <w:tcW w:w="1195" w:type="dxa"/>
          </w:tcPr>
          <w:p>
            <w:pPr>
              <w:spacing w:after="0"/>
              <w:jc w:val="right"/>
            </w:pPr>
            <w:r>
              <w:rPr>
                <w:sz w:val="18"/>
                <w:szCs w:val="18"/>
              </w:rPr>
              <w:t xml:space="preserve">−14,2 %</w:t>
            </w:r>
          </w:p>
        </w:tc>
        <w:tc>
          <w:tcPr>
            <w:tcW w:w="1195" w:type="dxa"/>
          </w:tcPr>
          <w:p>
            <w:pPr>
              <w:spacing w:after="0"/>
              <w:jc w:val="right"/>
            </w:pPr>
            <w:r>
              <w:rPr>
                <w:sz w:val="18"/>
                <w:szCs w:val="18"/>
              </w:rPr>
              <w:t xml:space="preserve">+4,7 %</w:t>
            </w:r>
          </w:p>
        </w:tc>
      </w:tr>
      <w:tr>
        <w:trPr>
          <w:cantSplit/>
        </w:trPr>
        <w:tc>
          <w:tcPr>
            <w:tcW w:w="3662" w:type="dxa"/>
          </w:tcPr>
          <w:p>
            <w:pPr>
              <w:spacing w:after="0"/>
              <w:jc w:val="left"/>
            </w:pPr>
            <w:r>
              <w:rPr>
                <w:sz w:val="18"/>
                <w:szCs w:val="18"/>
              </w:rPr>
              <w:t xml:space="preserve">Dettes représentées par un titre</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Autres passifs</w:t>
            </w:r>
          </w:p>
        </w:tc>
        <w:tc>
          <w:tcPr>
            <w:tcW w:w="1195" w:type="dxa"/>
          </w:tcPr>
          <w:p>
            <w:pPr>
              <w:spacing w:after="0"/>
              <w:jc w:val="right"/>
            </w:pPr>
            <w:r>
              <w:rPr>
                <w:sz w:val="18"/>
                <w:szCs w:val="18"/>
              </w:rPr>
              <w:t xml:space="preserve">1 365</w:t>
            </w:r>
          </w:p>
        </w:tc>
        <w:tc>
          <w:tcPr>
            <w:tcW w:w="1195" w:type="dxa"/>
          </w:tcPr>
          <w:p>
            <w:pPr>
              <w:spacing w:after="0"/>
              <w:jc w:val="right"/>
            </w:pPr>
            <w:r>
              <w:rPr>
                <w:sz w:val="18"/>
                <w:szCs w:val="18"/>
              </w:rPr>
              <w:t xml:space="preserve">2 001</w:t>
            </w:r>
          </w:p>
        </w:tc>
        <w:tc>
          <w:tcPr>
            <w:tcW w:w="1195" w:type="dxa"/>
          </w:tcPr>
          <w:p>
            <w:pPr>
              <w:spacing w:after="0"/>
              <w:jc w:val="right"/>
            </w:pPr>
            <w:r>
              <w:rPr>
                <w:sz w:val="18"/>
                <w:szCs w:val="18"/>
              </w:rPr>
              <w:t xml:space="preserve">2 088</w:t>
            </w:r>
          </w:p>
        </w:tc>
        <w:tc>
          <w:tcPr>
            <w:tcW w:w="1195" w:type="dxa"/>
          </w:tcPr>
          <w:p>
            <w:pPr>
              <w:spacing w:after="0"/>
              <w:jc w:val="right"/>
            </w:pPr>
            <w:r>
              <w:rPr>
                <w:sz w:val="18"/>
                <w:szCs w:val="18"/>
              </w:rPr>
              <w:t xml:space="preserve">+46,6 %</w:t>
            </w:r>
          </w:p>
        </w:tc>
        <w:tc>
          <w:tcPr>
            <w:tcW w:w="1195" w:type="dxa"/>
          </w:tcPr>
          <w:p>
            <w:pPr>
              <w:spacing w:after="0"/>
              <w:jc w:val="right"/>
            </w:pPr>
            <w:r>
              <w:rPr>
                <w:sz w:val="18"/>
                <w:szCs w:val="18"/>
              </w:rPr>
              <w:t xml:space="preserve">+4,3 %</w:t>
            </w:r>
          </w:p>
        </w:tc>
      </w:tr>
      <w:tr>
        <w:trPr>
          <w:cantSplit/>
        </w:trPr>
        <w:tc>
          <w:tcPr>
            <w:tcW w:w="3662" w:type="dxa"/>
          </w:tcPr>
          <w:p>
            <w:pPr>
              <w:spacing w:after="0"/>
              <w:jc w:val="left"/>
            </w:pPr>
            <w:r>
              <w:rPr>
                <w:sz w:val="18"/>
                <w:szCs w:val="18"/>
              </w:rPr>
              <w:t xml:space="preserve">Comptes de régularisation (passif)</w:t>
            </w:r>
          </w:p>
        </w:tc>
        <w:tc>
          <w:tcPr>
            <w:tcW w:w="1195" w:type="dxa"/>
          </w:tcPr>
          <w:p>
            <w:pPr>
              <w:spacing w:after="0"/>
              <w:jc w:val="right"/>
            </w:pPr>
            <w:r>
              <w:rPr>
                <w:sz w:val="18"/>
                <w:szCs w:val="18"/>
              </w:rPr>
              <w:t xml:space="preserve">2 403</w:t>
            </w:r>
          </w:p>
        </w:tc>
        <w:tc>
          <w:tcPr>
            <w:tcW w:w="1195" w:type="dxa"/>
          </w:tcPr>
          <w:p>
            <w:pPr>
              <w:spacing w:after="0"/>
              <w:jc w:val="right"/>
            </w:pPr>
            <w:r>
              <w:rPr>
                <w:sz w:val="18"/>
                <w:szCs w:val="18"/>
              </w:rPr>
              <w:t xml:space="preserve">1 702</w:t>
            </w:r>
          </w:p>
        </w:tc>
        <w:tc>
          <w:tcPr>
            <w:tcW w:w="1195" w:type="dxa"/>
          </w:tcPr>
          <w:p>
            <w:pPr>
              <w:spacing w:after="0"/>
              <w:jc w:val="right"/>
            </w:pPr>
            <w:r>
              <w:rPr>
                <w:sz w:val="18"/>
                <w:szCs w:val="18"/>
              </w:rPr>
              <w:t xml:space="preserve">2 167</w:t>
            </w:r>
          </w:p>
        </w:tc>
        <w:tc>
          <w:tcPr>
            <w:tcW w:w="1195" w:type="dxa"/>
          </w:tcPr>
          <w:p>
            <w:pPr>
              <w:spacing w:after="0"/>
              <w:jc w:val="right"/>
            </w:pPr>
            <w:r>
              <w:rPr>
                <w:sz w:val="18"/>
                <w:szCs w:val="18"/>
              </w:rPr>
              <w:t xml:space="preserve">−29,2 %</w:t>
            </w:r>
          </w:p>
        </w:tc>
        <w:tc>
          <w:tcPr>
            <w:tcW w:w="1195" w:type="dxa"/>
          </w:tcPr>
          <w:p>
            <w:pPr>
              <w:spacing w:after="0"/>
              <w:jc w:val="right"/>
            </w:pPr>
            <w:r>
              <w:rPr>
                <w:sz w:val="18"/>
                <w:szCs w:val="18"/>
              </w:rPr>
              <w:t xml:space="preserve">+27,3 %</w:t>
            </w:r>
          </w:p>
        </w:tc>
      </w:tr>
      <w:tr>
        <w:trPr>
          <w:cantSplit/>
        </w:trPr>
        <w:tc>
          <w:tcPr>
            <w:tcW w:w="3662" w:type="dxa"/>
          </w:tcPr>
          <w:p>
            <w:pPr>
              <w:spacing w:after="0"/>
              <w:jc w:val="left"/>
            </w:pPr>
            <w:r>
              <w:rPr>
                <w:sz w:val="18"/>
                <w:szCs w:val="18"/>
              </w:rPr>
              <w:t xml:space="preserve">Provisions</w:t>
            </w:r>
          </w:p>
        </w:tc>
        <w:tc>
          <w:tcPr>
            <w:tcW w:w="1195" w:type="dxa"/>
          </w:tcPr>
          <w:p>
            <w:pPr>
              <w:spacing w:after="0"/>
              <w:jc w:val="right"/>
            </w:pPr>
            <w:r>
              <w:rPr>
                <w:sz w:val="18"/>
                <w:szCs w:val="18"/>
              </w:rPr>
              <w:t xml:space="preserve">1 549</w:t>
            </w:r>
          </w:p>
        </w:tc>
        <w:tc>
          <w:tcPr>
            <w:tcW w:w="1195" w:type="dxa"/>
          </w:tcPr>
          <w:p>
            <w:pPr>
              <w:spacing w:after="0"/>
              <w:jc w:val="right"/>
            </w:pPr>
            <w:r>
              <w:rPr>
                <w:sz w:val="18"/>
                <w:szCs w:val="18"/>
              </w:rPr>
              <w:t xml:space="preserve">842</w:t>
            </w:r>
          </w:p>
        </w:tc>
        <w:tc>
          <w:tcPr>
            <w:tcW w:w="1195" w:type="dxa"/>
          </w:tcPr>
          <w:p>
            <w:pPr>
              <w:spacing w:after="0"/>
              <w:jc w:val="right"/>
            </w:pPr>
            <w:r>
              <w:rPr>
                <w:sz w:val="18"/>
                <w:szCs w:val="18"/>
              </w:rPr>
              <w:t xml:space="preserve">965</w:t>
            </w:r>
          </w:p>
        </w:tc>
        <w:tc>
          <w:tcPr>
            <w:tcW w:w="1195" w:type="dxa"/>
          </w:tcPr>
          <w:p>
            <w:pPr>
              <w:spacing w:after="0"/>
              <w:jc w:val="right"/>
            </w:pPr>
            <w:r>
              <w:rPr>
                <w:sz w:val="18"/>
                <w:szCs w:val="18"/>
              </w:rPr>
              <w:t xml:space="preserve">−45,6 %</w:t>
            </w:r>
          </w:p>
        </w:tc>
        <w:tc>
          <w:tcPr>
            <w:tcW w:w="1195" w:type="dxa"/>
          </w:tcPr>
          <w:p>
            <w:pPr>
              <w:spacing w:after="0"/>
              <w:jc w:val="right"/>
            </w:pPr>
            <w:r>
              <w:rPr>
                <w:sz w:val="18"/>
                <w:szCs w:val="18"/>
              </w:rPr>
              <w:t xml:space="preserve">+14,6 %</w:t>
            </w:r>
          </w:p>
        </w:tc>
      </w:tr>
      <w:tr>
        <w:trPr>
          <w:cantSplit/>
        </w:trPr>
        <w:tc>
          <w:tcPr>
            <w:tcW w:w="3662" w:type="dxa"/>
          </w:tcPr>
          <w:p>
            <w:pPr>
              <w:spacing w:after="0"/>
              <w:jc w:val="left"/>
            </w:pPr>
            <w:r>
              <w:rPr>
                <w:sz w:val="18"/>
                <w:szCs w:val="18"/>
              </w:rPr>
              <w:t xml:space="preserve">Emprunts et titres émis subordonnés</w:t>
            </w:r>
          </w:p>
        </w:tc>
        <w:tc>
          <w:tcPr>
            <w:tcW w:w="1195" w:type="dxa"/>
          </w:tcPr>
          <w:p>
            <w:pPr>
              <w:spacing w:after="0"/>
              <w:jc w:val="right"/>
            </w:pPr>
            <w:r>
              <w:rPr>
                <w:sz w:val="18"/>
                <w:szCs w:val="18"/>
              </w:rPr>
              <w:t xml:space="preserve">1 583</w:t>
            </w:r>
          </w:p>
        </w:tc>
        <w:tc>
          <w:tcPr>
            <w:tcW w:w="1195" w:type="dxa"/>
          </w:tcPr>
          <w:p>
            <w:pPr>
              <w:spacing w:after="0"/>
              <w:jc w:val="right"/>
            </w:pPr>
            <w:r>
              <w:rPr>
                <w:sz w:val="18"/>
                <w:szCs w:val="18"/>
              </w:rPr>
              <w:t xml:space="preserve">1 583</w:t>
            </w:r>
          </w:p>
        </w:tc>
        <w:tc>
          <w:tcPr>
            <w:tcW w:w="1195" w:type="dxa"/>
          </w:tcPr>
          <w:p>
            <w:pPr>
              <w:spacing w:after="0"/>
              <w:jc w:val="right"/>
            </w:pPr>
            <w:r>
              <w:rPr>
                <w:sz w:val="18"/>
                <w:szCs w:val="18"/>
              </w:rPr>
              <w:t xml:space="preserve">1 584</w:t>
            </w:r>
          </w:p>
        </w:tc>
        <w:tc>
          <w:tcPr>
            <w:tcW w:w="1195" w:type="dxa"/>
          </w:tcPr>
          <w:p>
            <w:pPr>
              <w:spacing w:after="0"/>
              <w:jc w:val="right"/>
            </w:pPr>
            <w:r>
              <w:rPr>
                <w:sz w:val="18"/>
                <w:szCs w:val="18"/>
              </w:rPr>
              <w:t xml:space="preserve">+0,0 %</w:t>
            </w:r>
          </w:p>
        </w:tc>
        <w:tc>
          <w:tcPr>
            <w:tcW w:w="1195" w:type="dxa"/>
          </w:tcPr>
          <w:p>
            <w:pPr>
              <w:spacing w:after="0"/>
              <w:jc w:val="right"/>
            </w:pPr>
            <w:r>
              <w:rPr>
                <w:sz w:val="18"/>
                <w:szCs w:val="18"/>
              </w:rPr>
              <w:t xml:space="preserve">+0,1 %</w:t>
            </w:r>
          </w:p>
        </w:tc>
      </w:tr>
      <w:tr>
        <w:trPr>
          <w:cantSplit/>
        </w:trPr>
        <w:tc>
          <w:tcPr>
            <w:tcW w:w="3662" w:type="dxa"/>
            <w:shd w:val="clear" w:color="auto" w:fill="F5F7F5"/>
          </w:tcPr>
          <w:p>
            <w:pPr>
              <w:spacing w:after="0"/>
              <w:jc w:val="left"/>
            </w:pPr>
            <w:r>
              <w:rPr>
                <w:b/>
                <w:sz w:val="18"/>
                <w:szCs w:val="18"/>
              </w:rPr>
              <w:t xml:space="preserve">Capitaux propres</w:t>
            </w:r>
          </w:p>
        </w:tc>
        <w:tc>
          <w:tcPr>
            <w:tcW w:w="1195" w:type="dxa"/>
            <w:shd w:val="clear" w:color="auto" w:fill="F5F7F5"/>
          </w:tcPr>
          <w:p>
            <w:pPr>
              <w:spacing w:after="0"/>
              <w:jc w:val="right"/>
            </w:pPr>
            <w:r>
              <w:rPr>
                <w:b/>
                <w:sz w:val="18"/>
                <w:szCs w:val="18"/>
              </w:rPr>
              <w:t xml:space="preserve">20 787</w:t>
            </w:r>
          </w:p>
        </w:tc>
        <w:tc>
          <w:tcPr>
            <w:tcW w:w="1195" w:type="dxa"/>
            <w:shd w:val="clear" w:color="auto" w:fill="F5F7F5"/>
          </w:tcPr>
          <w:p>
            <w:pPr>
              <w:spacing w:after="0"/>
              <w:jc w:val="right"/>
            </w:pPr>
            <w:r>
              <w:rPr>
                <w:b/>
                <w:sz w:val="18"/>
                <w:szCs w:val="18"/>
              </w:rPr>
              <w:t xml:space="preserve">24 381</w:t>
            </w:r>
          </w:p>
        </w:tc>
        <w:tc>
          <w:tcPr>
            <w:tcW w:w="1195" w:type="dxa"/>
            <w:shd w:val="clear" w:color="auto" w:fill="F5F7F5"/>
          </w:tcPr>
          <w:p>
            <w:pPr>
              <w:spacing w:after="0"/>
              <w:jc w:val="right"/>
            </w:pPr>
            <w:r>
              <w:rPr>
                <w:b/>
                <w:sz w:val="18"/>
                <w:szCs w:val="18"/>
              </w:rPr>
              <w:t xml:space="preserve">27 289</w:t>
            </w:r>
          </w:p>
        </w:tc>
        <w:tc>
          <w:tcPr>
            <w:tcW w:w="1195" w:type="dxa"/>
            <w:shd w:val="clear" w:color="auto" w:fill="F5F7F5"/>
          </w:tcPr>
          <w:p>
            <w:pPr>
              <w:spacing w:after="0"/>
              <w:jc w:val="right"/>
            </w:pPr>
            <w:r>
              <w:rPr>
                <w:b/>
                <w:sz w:val="18"/>
                <w:szCs w:val="18"/>
              </w:rPr>
              <w:t xml:space="preserve">+17,3 %</w:t>
            </w:r>
          </w:p>
        </w:tc>
        <w:tc>
          <w:tcPr>
            <w:tcW w:w="1195" w:type="dxa"/>
            <w:shd w:val="clear" w:color="auto" w:fill="F5F7F5"/>
          </w:tcPr>
          <w:p>
            <w:pPr>
              <w:spacing w:after="0"/>
              <w:jc w:val="right"/>
            </w:pPr>
            <w:r>
              <w:rPr>
                <w:b/>
                <w:sz w:val="18"/>
                <w:szCs w:val="18"/>
              </w:rPr>
              <w:t xml:space="preserve">+11,9 %</w:t>
            </w:r>
          </w:p>
        </w:tc>
      </w:tr>
      <w:tr>
        <w:trPr>
          <w:cantSplit/>
        </w:trPr>
        <w:tc>
          <w:tcPr>
            <w:tcW w:w="3662" w:type="dxa"/>
          </w:tcPr>
          <w:p>
            <w:pPr>
              <w:spacing w:after="0"/>
              <w:jc w:val="left"/>
            </w:pPr>
            <w:r>
              <w:rPr>
                <w:sz w:val="18"/>
                <w:szCs w:val="18"/>
              </w:rPr>
              <w:t xml:space="preserve">   Capital souscrit</w:t>
            </w:r>
          </w:p>
        </w:tc>
        <w:tc>
          <w:tcPr>
            <w:tcW w:w="1195" w:type="dxa"/>
          </w:tcPr>
          <w:p>
            <w:pPr>
              <w:spacing w:after="0"/>
              <w:jc w:val="right"/>
            </w:pPr>
            <w:r>
              <w:rPr>
                <w:sz w:val="18"/>
                <w:szCs w:val="18"/>
              </w:rPr>
              <w:t xml:space="preserve">28 000</w:t>
            </w:r>
          </w:p>
        </w:tc>
        <w:tc>
          <w:tcPr>
            <w:tcW w:w="1195" w:type="dxa"/>
          </w:tcPr>
          <w:p>
            <w:pPr>
              <w:spacing w:after="0"/>
              <w:jc w:val="right"/>
            </w:pPr>
            <w:r>
              <w:rPr>
                <w:sz w:val="18"/>
                <w:szCs w:val="18"/>
              </w:rPr>
              <w:t xml:space="preserve">28 000</w:t>
            </w:r>
          </w:p>
        </w:tc>
        <w:tc>
          <w:tcPr>
            <w:tcW w:w="1195" w:type="dxa"/>
          </w:tcPr>
          <w:p>
            <w:pPr>
              <w:spacing w:after="0"/>
              <w:jc w:val="right"/>
            </w:pPr>
            <w:r>
              <w:rPr>
                <w:sz w:val="18"/>
                <w:szCs w:val="18"/>
              </w:rPr>
              <w:t xml:space="preserve">20 563</w:t>
            </w:r>
          </w:p>
        </w:tc>
        <w:tc>
          <w:tcPr>
            <w:tcW w:w="1195" w:type="dxa"/>
          </w:tcPr>
          <w:p>
            <w:pPr>
              <w:spacing w:after="0"/>
              <w:jc w:val="right"/>
            </w:pPr>
            <w:r>
              <w:rPr>
                <w:sz w:val="18"/>
                <w:szCs w:val="18"/>
              </w:rPr>
              <w:t xml:space="preserve">+0,0 %</w:t>
            </w:r>
          </w:p>
        </w:tc>
        <w:tc>
          <w:tcPr>
            <w:tcW w:w="1195" w:type="dxa"/>
          </w:tcPr>
          <w:p>
            <w:pPr>
              <w:spacing w:after="0"/>
              <w:jc w:val="right"/>
            </w:pPr>
            <w:r>
              <w:rPr>
                <w:sz w:val="18"/>
                <w:szCs w:val="18"/>
              </w:rPr>
              <w:t xml:space="preserve">−26,6 %</w:t>
            </w:r>
          </w:p>
        </w:tc>
      </w:tr>
      <w:tr>
        <w:trPr>
          <w:cantSplit/>
        </w:trPr>
        <w:tc>
          <w:tcPr>
            <w:tcW w:w="3662" w:type="dxa"/>
          </w:tcPr>
          <w:p>
            <w:pPr>
              <w:spacing w:after="0"/>
              <w:jc w:val="left"/>
            </w:pPr>
            <w:r>
              <w:rPr>
                <w:sz w:val="18"/>
                <w:szCs w:val="18"/>
              </w:rPr>
              <w:t xml:space="preserve">   Primes liées au capital</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   Réserves</w:t>
            </w:r>
          </w:p>
        </w:tc>
        <w:tc>
          <w:tcPr>
            <w:tcW w:w="1195" w:type="dxa"/>
          </w:tcPr>
          <w:p>
            <w:pPr>
              <w:spacing w:after="0"/>
              <w:jc w:val="right"/>
            </w:pPr>
            <w:r>
              <w:rPr>
                <w:sz w:val="18"/>
                <w:szCs w:val="18"/>
              </w:rPr>
              <w:t xml:space="preserve">223</w:t>
            </w:r>
          </w:p>
        </w:tc>
        <w:tc>
          <w:tcPr>
            <w:tcW w:w="1195" w:type="dxa"/>
          </w:tcPr>
          <w:p>
            <w:pPr>
              <w:spacing w:after="0"/>
              <w:jc w:val="right"/>
            </w:pPr>
            <w:r>
              <w:rPr>
                <w:sz w:val="18"/>
                <w:szCs w:val="18"/>
              </w:rPr>
              <w:t xml:space="preserve">223</w:t>
            </w:r>
          </w:p>
        </w:tc>
        <w:tc>
          <w:tcPr>
            <w:tcW w:w="1195" w:type="dxa"/>
          </w:tcPr>
          <w:p>
            <w:pPr>
              <w:spacing w:after="0"/>
              <w:jc w:val="right"/>
            </w:pPr>
            <w:r>
              <w:rPr>
                <w:sz w:val="18"/>
                <w:szCs w:val="18"/>
              </w:rPr>
              <w:t xml:space="preserve">762</w:t>
            </w:r>
          </w:p>
        </w:tc>
        <w:tc>
          <w:tcPr>
            <w:tcW w:w="1195" w:type="dxa"/>
          </w:tcPr>
          <w:p>
            <w:pPr>
              <w:spacing w:after="0"/>
              <w:jc w:val="right"/>
            </w:pPr>
            <w:r>
              <w:rPr>
                <w:sz w:val="18"/>
                <w:szCs w:val="18"/>
              </w:rPr>
              <w:t xml:space="preserve">+0,0 %</w:t>
            </w:r>
          </w:p>
        </w:tc>
        <w:tc>
          <w:tcPr>
            <w:tcW w:w="1195" w:type="dxa"/>
          </w:tcPr>
          <w:p>
            <w:pPr>
              <w:spacing w:after="0"/>
              <w:jc w:val="right"/>
            </w:pPr>
            <w:r>
              <w:rPr>
                <w:sz w:val="18"/>
                <w:szCs w:val="18"/>
              </w:rPr>
              <w:t xml:space="preserve">+241,7 %</w:t>
            </w:r>
          </w:p>
        </w:tc>
      </w:tr>
      <w:tr>
        <w:trPr>
          <w:cantSplit/>
        </w:trPr>
        <w:tc>
          <w:tcPr>
            <w:tcW w:w="3662" w:type="dxa"/>
          </w:tcPr>
          <w:p>
            <w:pPr>
              <w:spacing w:after="0"/>
              <w:jc w:val="left"/>
            </w:pPr>
            <w:r>
              <w:rPr>
                <w:sz w:val="18"/>
                <w:szCs w:val="18"/>
              </w:rPr>
              <w:t xml:space="preserve">   Écarts de réévaluation</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   Provisions réglementées</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   Report à nouveau (+/−)</w:t>
            </w:r>
          </w:p>
        </w:tc>
        <w:tc>
          <w:tcPr>
            <w:tcW w:w="1195" w:type="dxa"/>
          </w:tcPr>
          <w:p>
            <w:pPr>
              <w:spacing w:after="0"/>
              <w:jc w:val="right"/>
            </w:pPr>
            <w:r>
              <w:rPr>
                <w:sz w:val="18"/>
                <w:szCs w:val="18"/>
              </w:rPr>
              <w:t xml:space="preserve">−10 548</w:t>
            </w:r>
          </w:p>
        </w:tc>
        <w:tc>
          <w:tcPr>
            <w:tcW w:w="1195" w:type="dxa"/>
          </w:tcPr>
          <w:p>
            <w:pPr>
              <w:spacing w:after="0"/>
              <w:jc w:val="right"/>
            </w:pPr>
            <w:r>
              <w:rPr>
                <w:sz w:val="18"/>
                <w:szCs w:val="18"/>
              </w:rPr>
              <w:t xml:space="preserve">−7 437</w:t>
            </w:r>
          </w:p>
        </w:tc>
        <w:tc>
          <w:tcPr>
            <w:tcW w:w="1195" w:type="dxa"/>
          </w:tcPr>
          <w:p>
            <w:pPr>
              <w:spacing w:after="0"/>
              <w:jc w:val="right"/>
            </w:pPr>
            <w:r>
              <w:rPr>
                <w:sz w:val="18"/>
                <w:szCs w:val="18"/>
              </w:rPr>
              <w:t xml:space="preserve">3 056</w:t>
            </w:r>
          </w:p>
        </w:tc>
        <w:tc>
          <w:tcPr>
            <w:tcW w:w="1195" w:type="dxa"/>
          </w:tcPr>
          <w:p>
            <w:pPr>
              <w:spacing w:after="0"/>
              <w:jc w:val="right"/>
            </w:pPr>
            <w:r>
              <w:rPr>
                <w:sz w:val="18"/>
                <w:szCs w:val="18"/>
              </w:rPr>
              <w:t xml:space="preserve">+29,5 %</w:t>
            </w:r>
          </w:p>
        </w:tc>
        <w:tc>
          <w:tcPr>
            <w:tcW w:w="1195" w:type="dxa"/>
          </w:tcPr>
          <w:p>
            <w:pPr>
              <w:spacing w:after="0"/>
              <w:jc w:val="right"/>
            </w:pPr>
            <w:r>
              <w:rPr>
                <w:sz w:val="18"/>
                <w:szCs w:val="18"/>
              </w:rPr>
              <w:t xml:space="preserve">+141,1 %</w:t>
            </w:r>
          </w:p>
        </w:tc>
      </w:tr>
      <w:tr>
        <w:trPr>
          <w:cantSplit/>
        </w:trPr>
        <w:tc>
          <w:tcPr>
            <w:tcW w:w="3662" w:type="dxa"/>
          </w:tcPr>
          <w:p>
            <w:pPr>
              <w:spacing w:after="0"/>
              <w:jc w:val="left"/>
            </w:pPr>
            <w:r>
              <w:rPr>
                <w:sz w:val="18"/>
                <w:szCs w:val="18"/>
              </w:rPr>
              <w:t xml:space="preserve">   Résultat de l'exercice (+/−)</w:t>
            </w:r>
          </w:p>
        </w:tc>
        <w:tc>
          <w:tcPr>
            <w:tcW w:w="1195" w:type="dxa"/>
          </w:tcPr>
          <w:p>
            <w:pPr>
              <w:spacing w:after="0"/>
              <w:jc w:val="right"/>
            </w:pPr>
            <w:r>
              <w:rPr>
                <w:sz w:val="18"/>
                <w:szCs w:val="18"/>
              </w:rPr>
              <w:t xml:space="preserve">3 112</w:t>
            </w:r>
          </w:p>
        </w:tc>
        <w:tc>
          <w:tcPr>
            <w:tcW w:w="1195" w:type="dxa"/>
          </w:tcPr>
          <w:p>
            <w:pPr>
              <w:spacing w:after="0"/>
              <w:jc w:val="right"/>
            </w:pPr>
            <w:r>
              <w:rPr>
                <w:sz w:val="18"/>
                <w:szCs w:val="18"/>
              </w:rPr>
              <w:t xml:space="preserve">3 595</w:t>
            </w:r>
          </w:p>
        </w:tc>
        <w:tc>
          <w:tcPr>
            <w:tcW w:w="1195" w:type="dxa"/>
          </w:tcPr>
          <w:p>
            <w:pPr>
              <w:spacing w:after="0"/>
              <w:jc w:val="right"/>
            </w:pPr>
            <w:r>
              <w:rPr>
                <w:sz w:val="18"/>
                <w:szCs w:val="18"/>
              </w:rPr>
              <w:t xml:space="preserve">2 908</w:t>
            </w:r>
          </w:p>
        </w:tc>
        <w:tc>
          <w:tcPr>
            <w:tcW w:w="1195" w:type="dxa"/>
          </w:tcPr>
          <w:p>
            <w:pPr>
              <w:spacing w:after="0"/>
              <w:jc w:val="right"/>
            </w:pPr>
            <w:r>
              <w:rPr>
                <w:sz w:val="18"/>
                <w:szCs w:val="18"/>
              </w:rPr>
              <w:t xml:space="preserve">+15,5 %</w:t>
            </w:r>
          </w:p>
        </w:tc>
        <w:tc>
          <w:tcPr>
            <w:tcW w:w="1195" w:type="dxa"/>
          </w:tcPr>
          <w:p>
            <w:pPr>
              <w:spacing w:after="0"/>
              <w:jc w:val="right"/>
            </w:pPr>
            <w:r>
              <w:rPr>
                <w:sz w:val="18"/>
                <w:szCs w:val="18"/>
              </w:rPr>
              <w:t xml:space="preserve">−19,1 %</w:t>
            </w:r>
          </w:p>
        </w:tc>
      </w:tr>
      <w:tr>
        <w:trPr>
          <w:cantSplit/>
        </w:trPr>
        <w:tc>
          <w:tcPr>
            <w:tcW w:w="3662" w:type="dxa"/>
            <w:shd w:val="clear" w:color="auto" w:fill="F5F7F5"/>
          </w:tcPr>
          <w:p>
            <w:pPr>
              <w:spacing w:after="0"/>
              <w:jc w:val="left"/>
            </w:pPr>
            <w:r>
              <w:rPr>
                <w:b/>
                <w:sz w:val="18"/>
                <w:szCs w:val="18"/>
              </w:rPr>
              <w:t xml:space="preserve">Total passif</w:t>
            </w:r>
          </w:p>
        </w:tc>
        <w:tc>
          <w:tcPr>
            <w:tcW w:w="1195" w:type="dxa"/>
            <w:shd w:val="clear" w:color="auto" w:fill="F5F7F5"/>
          </w:tcPr>
          <w:p>
            <w:pPr>
              <w:spacing w:after="0"/>
              <w:jc w:val="right"/>
            </w:pPr>
            <w:r>
              <w:rPr>
                <w:b/>
                <w:sz w:val="18"/>
                <w:szCs w:val="18"/>
              </w:rPr>
              <w:t xml:space="preserve">301 931</w:t>
            </w:r>
          </w:p>
        </w:tc>
        <w:tc>
          <w:tcPr>
            <w:tcW w:w="1195" w:type="dxa"/>
            <w:shd w:val="clear" w:color="auto" w:fill="F5F7F5"/>
          </w:tcPr>
          <w:p>
            <w:pPr>
              <w:spacing w:after="0"/>
              <w:jc w:val="right"/>
            </w:pPr>
            <w:r>
              <w:rPr>
                <w:b/>
                <w:sz w:val="18"/>
                <w:szCs w:val="18"/>
              </w:rPr>
              <w:t xml:space="preserve">269 088</w:t>
            </w:r>
          </w:p>
        </w:tc>
        <w:tc>
          <w:tcPr>
            <w:tcW w:w="1195" w:type="dxa"/>
            <w:shd w:val="clear" w:color="auto" w:fill="F5F7F5"/>
          </w:tcPr>
          <w:p>
            <w:pPr>
              <w:spacing w:after="0"/>
              <w:jc w:val="right"/>
            </w:pPr>
            <w:r>
              <w:rPr>
                <w:b/>
                <w:sz w:val="18"/>
                <w:szCs w:val="18"/>
              </w:rPr>
              <w:t xml:space="preserve">295 660</w:t>
            </w:r>
          </w:p>
        </w:tc>
        <w:tc>
          <w:tcPr>
            <w:tcW w:w="1195" w:type="dxa"/>
            <w:shd w:val="clear" w:color="auto" w:fill="F5F7F5"/>
          </w:tcPr>
          <w:p>
            <w:pPr>
              <w:spacing w:after="0"/>
              <w:jc w:val="right"/>
            </w:pPr>
            <w:r>
              <w:rPr>
                <w:b/>
                <w:sz w:val="18"/>
                <w:szCs w:val="18"/>
              </w:rPr>
              <w:t xml:space="preserve">−10,9 %</w:t>
            </w:r>
          </w:p>
        </w:tc>
        <w:tc>
          <w:tcPr>
            <w:tcW w:w="1195" w:type="dxa"/>
            <w:shd w:val="clear" w:color="auto" w:fill="F5F7F5"/>
          </w:tcPr>
          <w:p>
            <w:pPr>
              <w:spacing w:after="0"/>
              <w:jc w:val="right"/>
            </w:pPr>
            <w:r>
              <w:rPr>
                <w:b/>
                <w:sz w:val="18"/>
                <w:szCs w:val="18"/>
              </w:rPr>
              <w:t xml:space="preserve">+9,9 %</w:t>
            </w:r>
          </w:p>
        </w:tc>
      </w:tr>
    </w:tbl>
    <w:p>
      <w:pPr>
        <w:spacing w:after="60"/>
      </w:pPr>
    </w:p>
    <w:p>
      <w:r>
        <w:t xml:space="preserve">Le total du passif progresse de </w:t>
      </w:r>
      <w:r>
        <w:rPr>
          <w:b/>
        </w:rPr>
        <w:t xml:space="preserve">9,9 %</w:t>
      </w:r>
      <w:r>
        <w:t xml:space="preserve"> en 2023 (+26 572 M). Principaux mouvements :</w:t>
      </w:r>
    </w:p>
    <w:p>
      <w:pPr>
        <w:ind w:left="360" w:hanging="220"/>
      </w:pPr>
      <w:r>
        <w:t xml:space="preserve">•  </w:t>
      </w:r>
      <w:r>
        <w:rPr>
          <w:b/>
        </w:rPr>
        <w:t xml:space="preserve">Dettes interbancaires</w:t>
      </w:r>
      <w:r>
        <w:t xml:space="preserve"> : +14 205 M (+28,0 %)</w:t>
      </w:r>
    </w:p>
    <w:p>
      <w:pPr>
        <w:ind w:left="360" w:hanging="220"/>
      </w:pPr>
      <w:r>
        <w:t xml:space="preserve">•  </w:t>
      </w:r>
      <w:r>
        <w:rPr>
          <w:b/>
        </w:rPr>
        <w:t xml:space="preserve">Dépôts clientèle</w:t>
      </w:r>
      <w:r>
        <w:t xml:space="preserve"> : +8 783 M (+4,7 %)</w:t>
      </w:r>
    </w:p>
    <w:p>
      <w:pPr>
        <w:ind w:left="360" w:hanging="220"/>
      </w:pPr>
      <w:r>
        <w:t xml:space="preserve">•  </w:t>
      </w:r>
      <w:r>
        <w:rPr>
          <w:b/>
        </w:rPr>
        <w:t xml:space="preserve">Régul. passif</w:t>
      </w:r>
      <w:r>
        <w:t xml:space="preserve"> : +465 M (+27,3 %)</w:t>
      </w:r>
    </w:p>
    <w:p>
      <w:pPr>
        <w:ind w:left="360" w:hanging="220"/>
      </w:pPr>
      <w:r>
        <w:t xml:space="preserve">•  </w:t>
      </w:r>
      <w:r>
        <w:rPr>
          <w:b/>
        </w:rPr>
        <w:t xml:space="preserve">Provisions</w:t>
      </w:r>
      <w:r>
        <w:t xml:space="preserve"> : +123 M (+14,6 %)</w:t>
      </w:r>
    </w:p>
    <w:p>
      <w:pPr>
        <w:keepNext/>
        <w:spacing w:after="0"/>
      </w:pPr>
      <w:r>
        <w:drawing>
          <wp:inline distT="0" distB="0" distL="0" distR="0">
            <wp:extent cx="5400000" cy="1873125"/>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2.png"/>
                    <pic:cNvPicPr/>
                  </pic:nvPicPr>
                  <pic:blipFill>
                    <a:blip r:embed="rIdImg2"/>
                    <a:stretch>
                      <a:fillRect/>
                    </a:stretch>
                  </pic:blipFill>
                  <pic:spPr>
                    <a:xfrm>
                      <a:off x="0" y="0"/>
                      <a:ext cx="5400000" cy="1873125"/>
                    </a:xfrm>
                    <a:prstGeom prst="rect">
                      <a:avLst/>
                    </a:prstGeom>
                  </pic:spPr>
                </pic:pic>
              </a:graphicData>
            </a:graphic>
          </wp:inline>
        </w:drawing>
      </w:r>
    </w:p>
    <w:p>
      <w:pPr>
        <w:spacing w:after="160"/>
      </w:pPr>
      <w:r>
        <w:rPr>
          <w:i/>
          <w:color w:val="6B7770"/>
          <w:sz w:val="17"/>
          <w:szCs w:val="17"/>
        </w:rPr>
        <w:t xml:space="preserve">Figure 2 – Structure du passif par exercice (Interbancaire &amp; BCEAO, Dépôts clientèle, Autres dettes &amp; provisions, Subordonnés, Capitaux propres)</w:t>
      </w:r>
    </w:p>
    <w:p>
      <w:pPr>
        <w:pStyle w:val="Heading2"/>
        <w:keepNext/>
      </w:pPr>
      <w:r>
        <w:t xml:space="preserve">Compte de résultat</w:t>
      </w:r>
    </w:p>
    <w:tbl>
      <w:tblPr>
        <w:tblStyle w:val="Grille"/>
        <w:tblW w:w="5000" w:type="pct"/>
        <w:tblLayout w:type="autofit"/>
      </w:tblPr>
      <w:tblGrid>
        <w:gridCol w:w="3662"/>
        <w:gridCol w:w="1195"/>
        <w:gridCol w:w="1195"/>
        <w:gridCol w:w="1195"/>
        <w:gridCol w:w="1195"/>
        <w:gridCol w:w="1195"/>
      </w:tblGrid>
      <w:tr>
        <w:trPr>
          <w:tblHeader/>
          <w:cantSplit/>
        </w:trPr>
        <w:tc>
          <w:tcPr>
            <w:tcW w:w="3662" w:type="dxa"/>
            <w:shd w:val="clear" w:color="auto" w:fill="E8EDE8"/>
          </w:tcPr>
          <w:p>
            <w:pPr>
              <w:spacing w:after="0"/>
              <w:jc w:val="left"/>
            </w:pPr>
            <w:r>
              <w:rPr>
                <w:b/>
                <w:sz w:val="17"/>
                <w:szCs w:val="17"/>
              </w:rPr>
              <w:t xml:space="preserve">Poste</w:t>
            </w:r>
          </w:p>
        </w:tc>
        <w:tc>
          <w:tcPr>
            <w:tcW w:w="1195" w:type="dxa"/>
            <w:shd w:val="clear" w:color="auto" w:fill="E8EDE8"/>
          </w:tcPr>
          <w:p>
            <w:pPr>
              <w:spacing w:after="0"/>
              <w:jc w:val="right"/>
            </w:pPr>
            <w:r>
              <w:rPr>
                <w:b/>
                <w:sz w:val="17"/>
                <w:szCs w:val="17"/>
              </w:rPr>
              <w:t xml:space="preserve">2021</w:t>
            </w:r>
          </w:p>
        </w:tc>
        <w:tc>
          <w:tcPr>
            <w:tcW w:w="1195" w:type="dxa"/>
            <w:shd w:val="clear" w:color="auto" w:fill="E8EDE8"/>
          </w:tcPr>
          <w:p>
            <w:pPr>
              <w:spacing w:after="0"/>
              <w:jc w:val="right"/>
            </w:pPr>
            <w:r>
              <w:rPr>
                <w:b/>
                <w:sz w:val="17"/>
                <w:szCs w:val="17"/>
              </w:rPr>
              <w:t xml:space="preserve">2022</w:t>
            </w:r>
          </w:p>
        </w:tc>
        <w:tc>
          <w:tcPr>
            <w:tcW w:w="1195" w:type="dxa"/>
            <w:shd w:val="clear" w:color="auto" w:fill="E8EDE8"/>
          </w:tcPr>
          <w:p>
            <w:pPr>
              <w:spacing w:after="0"/>
              <w:jc w:val="right"/>
            </w:pPr>
            <w:r>
              <w:rPr>
                <w:b/>
                <w:sz w:val="17"/>
                <w:szCs w:val="17"/>
              </w:rPr>
              <w:t xml:space="preserve">2023</w:t>
            </w:r>
          </w:p>
        </w:tc>
        <w:tc>
          <w:tcPr>
            <w:tcW w:w="1195" w:type="dxa"/>
            <w:shd w:val="clear" w:color="auto" w:fill="E8EDE8"/>
          </w:tcPr>
          <w:p>
            <w:pPr>
              <w:spacing w:after="0"/>
              <w:jc w:val="right"/>
            </w:pPr>
            <w:r>
              <w:rPr>
                <w:b/>
                <w:sz w:val="17"/>
                <w:szCs w:val="17"/>
              </w:rPr>
              <w:t xml:space="preserve">Δ% 2022</w:t>
            </w:r>
          </w:p>
        </w:tc>
        <w:tc>
          <w:tcPr>
            <w:tcW w:w="1195" w:type="dxa"/>
            <w:shd w:val="clear" w:color="auto" w:fill="E8EDE8"/>
          </w:tcPr>
          <w:p>
            <w:pPr>
              <w:spacing w:after="0"/>
              <w:jc w:val="right"/>
            </w:pPr>
            <w:r>
              <w:rPr>
                <w:b/>
                <w:sz w:val="17"/>
                <w:szCs w:val="17"/>
              </w:rPr>
              <w:t xml:space="preserve">Δ% 2023</w:t>
            </w:r>
          </w:p>
        </w:tc>
      </w:tr>
      <w:tr>
        <w:trPr>
          <w:cantSplit/>
        </w:trPr>
        <w:tc>
          <w:tcPr>
            <w:tcW w:w="3662" w:type="dxa"/>
          </w:tcPr>
          <w:p>
            <w:pPr>
              <w:spacing w:after="0"/>
              <w:jc w:val="left"/>
            </w:pPr>
            <w:r>
              <w:rPr>
                <w:sz w:val="18"/>
                <w:szCs w:val="18"/>
              </w:rPr>
              <w:t xml:space="preserve">Intérêts et produits assimilés</w:t>
            </w:r>
          </w:p>
        </w:tc>
        <w:tc>
          <w:tcPr>
            <w:tcW w:w="1195" w:type="dxa"/>
          </w:tcPr>
          <w:p>
            <w:pPr>
              <w:spacing w:after="0"/>
              <w:jc w:val="right"/>
            </w:pPr>
            <w:r>
              <w:rPr>
                <w:sz w:val="18"/>
                <w:szCs w:val="18"/>
              </w:rPr>
              <w:t xml:space="preserve">20 000</w:t>
            </w:r>
          </w:p>
        </w:tc>
        <w:tc>
          <w:tcPr>
            <w:tcW w:w="1195" w:type="dxa"/>
          </w:tcPr>
          <w:p>
            <w:pPr>
              <w:spacing w:after="0"/>
              <w:jc w:val="right"/>
            </w:pPr>
            <w:r>
              <w:rPr>
                <w:sz w:val="18"/>
                <w:szCs w:val="18"/>
              </w:rPr>
              <w:t xml:space="preserve">21 000</w:t>
            </w:r>
          </w:p>
        </w:tc>
        <w:tc>
          <w:tcPr>
            <w:tcW w:w="1195" w:type="dxa"/>
          </w:tcPr>
          <w:p>
            <w:pPr>
              <w:spacing w:after="0"/>
              <w:jc w:val="right"/>
            </w:pPr>
            <w:r>
              <w:rPr>
                <w:sz w:val="18"/>
                <w:szCs w:val="18"/>
              </w:rPr>
              <w:t xml:space="preserve">23 000</w:t>
            </w:r>
          </w:p>
        </w:tc>
        <w:tc>
          <w:tcPr>
            <w:tcW w:w="1195" w:type="dxa"/>
          </w:tcPr>
          <w:p>
            <w:pPr>
              <w:spacing w:after="0"/>
              <w:jc w:val="right"/>
            </w:pPr>
            <w:r>
              <w:rPr>
                <w:sz w:val="18"/>
                <w:szCs w:val="18"/>
              </w:rPr>
              <w:t xml:space="preserve">+5,0 %</w:t>
            </w:r>
          </w:p>
        </w:tc>
        <w:tc>
          <w:tcPr>
            <w:tcW w:w="1195" w:type="dxa"/>
          </w:tcPr>
          <w:p>
            <w:pPr>
              <w:spacing w:after="0"/>
              <w:jc w:val="right"/>
            </w:pPr>
            <w:r>
              <w:rPr>
                <w:sz w:val="18"/>
                <w:szCs w:val="18"/>
              </w:rPr>
              <w:t xml:space="preserve">+9,5 %</w:t>
            </w:r>
          </w:p>
        </w:tc>
      </w:tr>
      <w:tr>
        <w:trPr>
          <w:cantSplit/>
        </w:trPr>
        <w:tc>
          <w:tcPr>
            <w:tcW w:w="3662" w:type="dxa"/>
          </w:tcPr>
          <w:p>
            <w:pPr>
              <w:spacing w:after="0"/>
              <w:jc w:val="left"/>
            </w:pPr>
            <w:r>
              <w:rPr>
                <w:sz w:val="18"/>
                <w:szCs w:val="18"/>
              </w:rPr>
              <w:t xml:space="preserve">Intérêts et charges assimilées</w:t>
            </w:r>
          </w:p>
        </w:tc>
        <w:tc>
          <w:tcPr>
            <w:tcW w:w="1195" w:type="dxa"/>
          </w:tcPr>
          <w:p>
            <w:pPr>
              <w:spacing w:after="0"/>
              <w:jc w:val="right"/>
            </w:pPr>
            <w:r>
              <w:rPr>
                <w:sz w:val="18"/>
                <w:szCs w:val="18"/>
              </w:rPr>
              <w:t xml:space="preserve">8 000</w:t>
            </w:r>
          </w:p>
        </w:tc>
        <w:tc>
          <w:tcPr>
            <w:tcW w:w="1195" w:type="dxa"/>
          </w:tcPr>
          <w:p>
            <w:pPr>
              <w:spacing w:after="0"/>
              <w:jc w:val="right"/>
            </w:pPr>
            <w:r>
              <w:rPr>
                <w:sz w:val="18"/>
                <w:szCs w:val="18"/>
              </w:rPr>
              <w:t xml:space="preserve">8 200</w:t>
            </w:r>
          </w:p>
        </w:tc>
        <w:tc>
          <w:tcPr>
            <w:tcW w:w="1195" w:type="dxa"/>
          </w:tcPr>
          <w:p>
            <w:pPr>
              <w:spacing w:after="0"/>
              <w:jc w:val="right"/>
            </w:pPr>
            <w:r>
              <w:rPr>
                <w:sz w:val="18"/>
                <w:szCs w:val="18"/>
              </w:rPr>
              <w:t xml:space="preserve">9 000</w:t>
            </w:r>
          </w:p>
        </w:tc>
        <w:tc>
          <w:tcPr>
            <w:tcW w:w="1195" w:type="dxa"/>
          </w:tcPr>
          <w:p>
            <w:pPr>
              <w:spacing w:after="0"/>
              <w:jc w:val="right"/>
            </w:pPr>
            <w:r>
              <w:rPr>
                <w:sz w:val="18"/>
                <w:szCs w:val="18"/>
              </w:rPr>
              <w:t xml:space="preserve">+2,5 %</w:t>
            </w:r>
          </w:p>
        </w:tc>
        <w:tc>
          <w:tcPr>
            <w:tcW w:w="1195" w:type="dxa"/>
          </w:tcPr>
          <w:p>
            <w:pPr>
              <w:spacing w:after="0"/>
              <w:jc w:val="right"/>
            </w:pPr>
            <w:r>
              <w:rPr>
                <w:sz w:val="18"/>
                <w:szCs w:val="18"/>
              </w:rPr>
              <w:t xml:space="preserve">+9,8 %</w:t>
            </w:r>
          </w:p>
        </w:tc>
      </w:tr>
      <w:tr>
        <w:trPr>
          <w:cantSplit/>
        </w:trPr>
        <w:tc>
          <w:tcPr>
            <w:tcW w:w="3662" w:type="dxa"/>
            <w:shd w:val="clear" w:color="auto" w:fill="F5F7F5"/>
          </w:tcPr>
          <w:p>
            <w:pPr>
              <w:spacing w:after="0"/>
              <w:jc w:val="left"/>
            </w:pPr>
            <w:r>
              <w:rPr>
                <w:b/>
                <w:sz w:val="18"/>
                <w:szCs w:val="18"/>
              </w:rPr>
              <w:t xml:space="preserve">Marge d'intérêts</w:t>
            </w:r>
          </w:p>
        </w:tc>
        <w:tc>
          <w:tcPr>
            <w:tcW w:w="1195" w:type="dxa"/>
            <w:shd w:val="clear" w:color="auto" w:fill="F5F7F5"/>
          </w:tcPr>
          <w:p>
            <w:pPr>
              <w:spacing w:after="0"/>
              <w:jc w:val="right"/>
            </w:pPr>
            <w:r>
              <w:rPr>
                <w:b/>
                <w:sz w:val="18"/>
                <w:szCs w:val="18"/>
              </w:rPr>
              <w:t xml:space="preserve">12 000</w:t>
            </w:r>
          </w:p>
        </w:tc>
        <w:tc>
          <w:tcPr>
            <w:tcW w:w="1195" w:type="dxa"/>
            <w:shd w:val="clear" w:color="auto" w:fill="F5F7F5"/>
          </w:tcPr>
          <w:p>
            <w:pPr>
              <w:spacing w:after="0"/>
              <w:jc w:val="right"/>
            </w:pPr>
            <w:r>
              <w:rPr>
                <w:b/>
                <w:sz w:val="18"/>
                <w:szCs w:val="18"/>
              </w:rPr>
              <w:t xml:space="preserve">12 800</w:t>
            </w:r>
          </w:p>
        </w:tc>
        <w:tc>
          <w:tcPr>
            <w:tcW w:w="1195" w:type="dxa"/>
            <w:shd w:val="clear" w:color="auto" w:fill="F5F7F5"/>
          </w:tcPr>
          <w:p>
            <w:pPr>
              <w:spacing w:after="0"/>
              <w:jc w:val="right"/>
            </w:pPr>
            <w:r>
              <w:rPr>
                <w:b/>
                <w:sz w:val="18"/>
                <w:szCs w:val="18"/>
              </w:rPr>
              <w:t xml:space="preserve">14 000</w:t>
            </w:r>
          </w:p>
        </w:tc>
        <w:tc>
          <w:tcPr>
            <w:tcW w:w="1195" w:type="dxa"/>
            <w:shd w:val="clear" w:color="auto" w:fill="F5F7F5"/>
          </w:tcPr>
          <w:p>
            <w:pPr>
              <w:spacing w:after="0"/>
              <w:jc w:val="right"/>
            </w:pPr>
            <w:r>
              <w:rPr>
                <w:b/>
                <w:sz w:val="18"/>
                <w:szCs w:val="18"/>
              </w:rPr>
              <w:t xml:space="preserve">+6,7 %</w:t>
            </w:r>
          </w:p>
        </w:tc>
        <w:tc>
          <w:tcPr>
            <w:tcW w:w="1195" w:type="dxa"/>
            <w:shd w:val="clear" w:color="auto" w:fill="F5F7F5"/>
          </w:tcPr>
          <w:p>
            <w:pPr>
              <w:spacing w:after="0"/>
              <w:jc w:val="right"/>
            </w:pPr>
            <w:r>
              <w:rPr>
                <w:b/>
                <w:sz w:val="18"/>
                <w:szCs w:val="18"/>
              </w:rPr>
              <w:t xml:space="preserve">+9,4 %</w:t>
            </w:r>
          </w:p>
        </w:tc>
      </w:tr>
      <w:tr>
        <w:trPr>
          <w:cantSplit/>
        </w:trPr>
        <w:tc>
          <w:tcPr>
            <w:tcW w:w="3662" w:type="dxa"/>
          </w:tcPr>
          <w:p>
            <w:pPr>
              <w:spacing w:after="0"/>
              <w:jc w:val="left"/>
            </w:pPr>
            <w:r>
              <w:rPr>
                <w:sz w:val="18"/>
                <w:szCs w:val="18"/>
              </w:rPr>
              <w:t xml:space="preserve">Revenus des titres à revenu variable</w:t>
            </w:r>
          </w:p>
        </w:tc>
        <w:tc>
          <w:tcPr>
            <w:tcW w:w="1195" w:type="dxa"/>
          </w:tcPr>
          <w:p>
            <w:pPr>
              <w:spacing w:after="0"/>
              <w:jc w:val="right"/>
            </w:pPr>
            <w:r>
              <w:rPr>
                <w:sz w:val="18"/>
                <w:szCs w:val="18"/>
              </w:rPr>
              <w:t xml:space="preserve">100</w:t>
            </w:r>
          </w:p>
        </w:tc>
        <w:tc>
          <w:tcPr>
            <w:tcW w:w="1195" w:type="dxa"/>
          </w:tcPr>
          <w:p>
            <w:pPr>
              <w:spacing w:after="0"/>
              <w:jc w:val="right"/>
            </w:pPr>
            <w:r>
              <w:rPr>
                <w:sz w:val="18"/>
                <w:szCs w:val="18"/>
              </w:rPr>
              <w:t xml:space="preserve">120</w:t>
            </w:r>
          </w:p>
        </w:tc>
        <w:tc>
          <w:tcPr>
            <w:tcW w:w="1195" w:type="dxa"/>
          </w:tcPr>
          <w:p>
            <w:pPr>
              <w:spacing w:after="0"/>
              <w:jc w:val="right"/>
            </w:pPr>
            <w:r>
              <w:rPr>
                <w:sz w:val="18"/>
                <w:szCs w:val="18"/>
              </w:rPr>
              <w:t xml:space="preserve">90</w:t>
            </w:r>
          </w:p>
        </w:tc>
        <w:tc>
          <w:tcPr>
            <w:tcW w:w="1195" w:type="dxa"/>
          </w:tcPr>
          <w:p>
            <w:pPr>
              <w:spacing w:after="0"/>
              <w:jc w:val="right"/>
            </w:pPr>
            <w:r>
              <w:rPr>
                <w:sz w:val="18"/>
                <w:szCs w:val="18"/>
              </w:rPr>
              <w:t xml:space="preserve">+20,0 %</w:t>
            </w:r>
          </w:p>
        </w:tc>
        <w:tc>
          <w:tcPr>
            <w:tcW w:w="1195" w:type="dxa"/>
          </w:tcPr>
          <w:p>
            <w:pPr>
              <w:spacing w:after="0"/>
              <w:jc w:val="right"/>
            </w:pPr>
            <w:r>
              <w:rPr>
                <w:sz w:val="18"/>
                <w:szCs w:val="18"/>
              </w:rPr>
              <w:t xml:space="preserve">−25,0 %</w:t>
            </w:r>
          </w:p>
        </w:tc>
      </w:tr>
      <w:tr>
        <w:trPr>
          <w:cantSplit/>
        </w:trPr>
        <w:tc>
          <w:tcPr>
            <w:tcW w:w="3662" w:type="dxa"/>
          </w:tcPr>
          <w:p>
            <w:pPr>
              <w:spacing w:after="0"/>
              <w:jc w:val="left"/>
            </w:pPr>
            <w:r>
              <w:rPr>
                <w:sz w:val="18"/>
                <w:szCs w:val="18"/>
              </w:rPr>
              <w:t xml:space="preserve">Commissions (produits)</w:t>
            </w:r>
          </w:p>
        </w:tc>
        <w:tc>
          <w:tcPr>
            <w:tcW w:w="1195" w:type="dxa"/>
          </w:tcPr>
          <w:p>
            <w:pPr>
              <w:spacing w:after="0"/>
              <w:jc w:val="right"/>
            </w:pPr>
            <w:r>
              <w:rPr>
                <w:sz w:val="18"/>
                <w:szCs w:val="18"/>
              </w:rPr>
              <w:t xml:space="preserve">4 822</w:t>
            </w:r>
          </w:p>
        </w:tc>
        <w:tc>
          <w:tcPr>
            <w:tcW w:w="1195" w:type="dxa"/>
          </w:tcPr>
          <w:p>
            <w:pPr>
              <w:spacing w:after="0"/>
              <w:jc w:val="right"/>
            </w:pPr>
            <w:r>
              <w:rPr>
                <w:sz w:val="18"/>
                <w:szCs w:val="18"/>
              </w:rPr>
              <w:t xml:space="preserve">4 889</w:t>
            </w:r>
          </w:p>
        </w:tc>
        <w:tc>
          <w:tcPr>
            <w:tcW w:w="1195" w:type="dxa"/>
          </w:tcPr>
          <w:p>
            <w:pPr>
              <w:spacing w:after="0"/>
              <w:jc w:val="right"/>
            </w:pPr>
            <w:r>
              <w:rPr>
                <w:sz w:val="18"/>
                <w:szCs w:val="18"/>
              </w:rPr>
              <w:t xml:space="preserve">5 570</w:t>
            </w:r>
          </w:p>
        </w:tc>
        <w:tc>
          <w:tcPr>
            <w:tcW w:w="1195" w:type="dxa"/>
          </w:tcPr>
          <w:p>
            <w:pPr>
              <w:spacing w:after="0"/>
              <w:jc w:val="right"/>
            </w:pPr>
            <w:r>
              <w:rPr>
                <w:sz w:val="18"/>
                <w:szCs w:val="18"/>
              </w:rPr>
              <w:t xml:space="preserve">+1,4 %</w:t>
            </w:r>
          </w:p>
        </w:tc>
        <w:tc>
          <w:tcPr>
            <w:tcW w:w="1195" w:type="dxa"/>
          </w:tcPr>
          <w:p>
            <w:pPr>
              <w:spacing w:after="0"/>
              <w:jc w:val="right"/>
            </w:pPr>
            <w:r>
              <w:rPr>
                <w:sz w:val="18"/>
                <w:szCs w:val="18"/>
              </w:rPr>
              <w:t xml:space="preserve">+13,9 %</w:t>
            </w:r>
          </w:p>
        </w:tc>
      </w:tr>
      <w:tr>
        <w:trPr>
          <w:cantSplit/>
        </w:trPr>
        <w:tc>
          <w:tcPr>
            <w:tcW w:w="3662" w:type="dxa"/>
          </w:tcPr>
          <w:p>
            <w:pPr>
              <w:spacing w:after="0"/>
              <w:jc w:val="left"/>
            </w:pPr>
            <w:r>
              <w:rPr>
                <w:sz w:val="18"/>
                <w:szCs w:val="18"/>
              </w:rPr>
              <w:t xml:space="preserve">Commissions (charges)</w:t>
            </w:r>
          </w:p>
        </w:tc>
        <w:tc>
          <w:tcPr>
            <w:tcW w:w="1195" w:type="dxa"/>
          </w:tcPr>
          <w:p>
            <w:pPr>
              <w:spacing w:after="0"/>
              <w:jc w:val="right"/>
            </w:pPr>
            <w:r>
              <w:rPr>
                <w:sz w:val="18"/>
                <w:szCs w:val="18"/>
              </w:rPr>
              <w:t xml:space="preserve">500</w:t>
            </w:r>
          </w:p>
        </w:tc>
        <w:tc>
          <w:tcPr>
            <w:tcW w:w="1195" w:type="dxa"/>
          </w:tcPr>
          <w:p>
            <w:pPr>
              <w:spacing w:after="0"/>
              <w:jc w:val="right"/>
            </w:pPr>
            <w:r>
              <w:rPr>
                <w:sz w:val="18"/>
                <w:szCs w:val="18"/>
              </w:rPr>
              <w:t xml:space="preserve">520</w:t>
            </w:r>
          </w:p>
        </w:tc>
        <w:tc>
          <w:tcPr>
            <w:tcW w:w="1195" w:type="dxa"/>
          </w:tcPr>
          <w:p>
            <w:pPr>
              <w:spacing w:after="0"/>
              <w:jc w:val="right"/>
            </w:pPr>
            <w:r>
              <w:rPr>
                <w:sz w:val="18"/>
                <w:szCs w:val="18"/>
              </w:rPr>
              <w:t xml:space="preserve">600</w:t>
            </w:r>
          </w:p>
        </w:tc>
        <w:tc>
          <w:tcPr>
            <w:tcW w:w="1195" w:type="dxa"/>
          </w:tcPr>
          <w:p>
            <w:pPr>
              <w:spacing w:after="0"/>
              <w:jc w:val="right"/>
            </w:pPr>
            <w:r>
              <w:rPr>
                <w:sz w:val="18"/>
                <w:szCs w:val="18"/>
              </w:rPr>
              <w:t xml:space="preserve">+4,0 %</w:t>
            </w:r>
          </w:p>
        </w:tc>
        <w:tc>
          <w:tcPr>
            <w:tcW w:w="1195" w:type="dxa"/>
          </w:tcPr>
          <w:p>
            <w:pPr>
              <w:spacing w:after="0"/>
              <w:jc w:val="right"/>
            </w:pPr>
            <w:r>
              <w:rPr>
                <w:sz w:val="18"/>
                <w:szCs w:val="18"/>
              </w:rPr>
              <w:t xml:space="preserve">+15,4 %</w:t>
            </w:r>
          </w:p>
        </w:tc>
      </w:tr>
      <w:tr>
        <w:trPr>
          <w:cantSplit/>
        </w:trPr>
        <w:tc>
          <w:tcPr>
            <w:tcW w:w="3662" w:type="dxa"/>
          </w:tcPr>
          <w:p>
            <w:pPr>
              <w:spacing w:after="0"/>
              <w:jc w:val="left"/>
            </w:pPr>
            <w:r>
              <w:rPr>
                <w:sz w:val="18"/>
                <w:szCs w:val="18"/>
              </w:rPr>
              <w:t xml:space="preserve">Gains ou pertes nets sur portefeuilles de négociation</w:t>
            </w:r>
          </w:p>
        </w:tc>
        <w:tc>
          <w:tcPr>
            <w:tcW w:w="1195" w:type="dxa"/>
          </w:tcPr>
          <w:p>
            <w:pPr>
              <w:spacing w:after="0"/>
              <w:jc w:val="right"/>
            </w:pPr>
            <w:r>
              <w:rPr>
                <w:sz w:val="18"/>
                <w:szCs w:val="18"/>
              </w:rPr>
              <w:t xml:space="preserve">200</w:t>
            </w:r>
          </w:p>
        </w:tc>
        <w:tc>
          <w:tcPr>
            <w:tcW w:w="1195" w:type="dxa"/>
          </w:tcPr>
          <w:p>
            <w:pPr>
              <w:spacing w:after="0"/>
              <w:jc w:val="right"/>
            </w:pPr>
            <w:r>
              <w:rPr>
                <w:sz w:val="18"/>
                <w:szCs w:val="18"/>
              </w:rPr>
              <w:t xml:space="preserve">−50</w:t>
            </w:r>
          </w:p>
        </w:tc>
        <w:tc>
          <w:tcPr>
            <w:tcW w:w="1195" w:type="dxa"/>
          </w:tcPr>
          <w:p>
            <w:pPr>
              <w:spacing w:after="0"/>
              <w:jc w:val="right"/>
            </w:pPr>
            <w:r>
              <w:rPr>
                <w:sz w:val="18"/>
                <w:szCs w:val="18"/>
              </w:rPr>
              <w:t xml:space="preserve">300</w:t>
            </w:r>
          </w:p>
        </w:tc>
        <w:tc>
          <w:tcPr>
            <w:tcW w:w="1195" w:type="dxa"/>
          </w:tcPr>
          <w:p>
            <w:pPr>
              <w:spacing w:after="0"/>
              <w:jc w:val="right"/>
            </w:pPr>
            <w:r>
              <w:rPr>
                <w:sz w:val="18"/>
                <w:szCs w:val="18"/>
              </w:rPr>
              <w:t xml:space="preserve">−125,0 %</w:t>
            </w:r>
          </w:p>
        </w:tc>
        <w:tc>
          <w:tcPr>
            <w:tcW w:w="1195" w:type="dxa"/>
          </w:tcPr>
          <w:p>
            <w:pPr>
              <w:spacing w:after="0"/>
              <w:jc w:val="right"/>
            </w:pPr>
            <w:r>
              <w:rPr>
                <w:sz w:val="18"/>
                <w:szCs w:val="18"/>
              </w:rPr>
              <w:t xml:space="preserve">+700,0 %</w:t>
            </w:r>
          </w:p>
        </w:tc>
      </w:tr>
      <w:tr>
        <w:trPr>
          <w:cantSplit/>
        </w:trPr>
        <w:tc>
          <w:tcPr>
            <w:tcW w:w="3662" w:type="dxa"/>
          </w:tcPr>
          <w:p>
            <w:pPr>
              <w:spacing w:after="0"/>
              <w:jc w:val="left"/>
            </w:pPr>
            <w:r>
              <w:rPr>
                <w:sz w:val="18"/>
                <w:szCs w:val="18"/>
              </w:rPr>
              <w:t xml:space="preserve">Gains ou pertes nets sur portefeuilles de placement</w:t>
            </w:r>
          </w:p>
        </w:tc>
        <w:tc>
          <w:tcPr>
            <w:tcW w:w="1195" w:type="dxa"/>
          </w:tcPr>
          <w:p>
            <w:pPr>
              <w:spacing w:after="0"/>
              <w:jc w:val="right"/>
            </w:pPr>
            <w:r>
              <w:rPr>
                <w:sz w:val="18"/>
                <w:szCs w:val="18"/>
              </w:rPr>
              <w:t xml:space="preserve">100</w:t>
            </w:r>
          </w:p>
        </w:tc>
        <w:tc>
          <w:tcPr>
            <w:tcW w:w="1195" w:type="dxa"/>
          </w:tcPr>
          <w:p>
            <w:pPr>
              <w:spacing w:after="0"/>
              <w:jc w:val="right"/>
            </w:pPr>
            <w:r>
              <w:rPr>
                <w:sz w:val="18"/>
                <w:szCs w:val="18"/>
              </w:rPr>
              <w:t xml:space="preserve">100</w:t>
            </w:r>
          </w:p>
        </w:tc>
        <w:tc>
          <w:tcPr>
            <w:tcW w:w="1195" w:type="dxa"/>
          </w:tcPr>
          <w:p>
            <w:pPr>
              <w:spacing w:after="0"/>
              <w:jc w:val="right"/>
            </w:pPr>
            <w:r>
              <w:rPr>
                <w:sz w:val="18"/>
                <w:szCs w:val="18"/>
              </w:rPr>
              <w:t xml:space="preserve">100</w:t>
            </w:r>
          </w:p>
        </w:tc>
        <w:tc>
          <w:tcPr>
            <w:tcW w:w="1195" w:type="dxa"/>
          </w:tcPr>
          <w:p>
            <w:pPr>
              <w:spacing w:after="0"/>
              <w:jc w:val="right"/>
            </w:pPr>
            <w:r>
              <w:rPr>
                <w:sz w:val="18"/>
                <w:szCs w:val="18"/>
              </w:rPr>
              <w:t xml:space="preserve">+0,0 %</w:t>
            </w:r>
          </w:p>
        </w:tc>
        <w:tc>
          <w:tcPr>
            <w:tcW w:w="1195" w:type="dxa"/>
          </w:tcPr>
          <w:p>
            <w:pPr>
              <w:spacing w:after="0"/>
              <w:jc w:val="right"/>
            </w:pPr>
            <w:r>
              <w:rPr>
                <w:sz w:val="18"/>
                <w:szCs w:val="18"/>
              </w:rPr>
              <w:t xml:space="preserve">+0,0 %</w:t>
            </w:r>
          </w:p>
        </w:tc>
      </w:tr>
      <w:tr>
        <w:trPr>
          <w:cantSplit/>
        </w:trPr>
        <w:tc>
          <w:tcPr>
            <w:tcW w:w="3662" w:type="dxa"/>
          </w:tcPr>
          <w:p>
            <w:pPr>
              <w:spacing w:after="0"/>
              <w:jc w:val="left"/>
            </w:pPr>
            <w:r>
              <w:rPr>
                <w:sz w:val="18"/>
                <w:szCs w:val="18"/>
              </w:rPr>
              <w:t xml:space="preserve">Autres produits d'exploitation bancaire</w:t>
            </w:r>
          </w:p>
        </w:tc>
        <w:tc>
          <w:tcPr>
            <w:tcW w:w="1195" w:type="dxa"/>
          </w:tcPr>
          <w:p>
            <w:pPr>
              <w:spacing w:after="0"/>
              <w:jc w:val="right"/>
            </w:pPr>
            <w:r>
              <w:rPr>
                <w:sz w:val="18"/>
                <w:szCs w:val="18"/>
              </w:rPr>
              <w:t xml:space="preserve">300</w:t>
            </w:r>
          </w:p>
        </w:tc>
        <w:tc>
          <w:tcPr>
            <w:tcW w:w="1195" w:type="dxa"/>
          </w:tcPr>
          <w:p>
            <w:pPr>
              <w:spacing w:after="0"/>
              <w:jc w:val="right"/>
            </w:pPr>
            <w:r>
              <w:rPr>
                <w:sz w:val="18"/>
                <w:szCs w:val="18"/>
              </w:rPr>
              <w:t xml:space="preserve">350</w:t>
            </w:r>
          </w:p>
        </w:tc>
        <w:tc>
          <w:tcPr>
            <w:tcW w:w="1195" w:type="dxa"/>
          </w:tcPr>
          <w:p>
            <w:pPr>
              <w:spacing w:after="0"/>
              <w:jc w:val="right"/>
            </w:pPr>
            <w:r>
              <w:rPr>
                <w:sz w:val="18"/>
                <w:szCs w:val="18"/>
              </w:rPr>
              <w:t xml:space="preserve">400</w:t>
            </w:r>
          </w:p>
        </w:tc>
        <w:tc>
          <w:tcPr>
            <w:tcW w:w="1195" w:type="dxa"/>
          </w:tcPr>
          <w:p>
            <w:pPr>
              <w:spacing w:after="0"/>
              <w:jc w:val="right"/>
            </w:pPr>
            <w:r>
              <w:rPr>
                <w:sz w:val="18"/>
                <w:szCs w:val="18"/>
              </w:rPr>
              <w:t xml:space="preserve">+16,7 %</w:t>
            </w:r>
          </w:p>
        </w:tc>
        <w:tc>
          <w:tcPr>
            <w:tcW w:w="1195" w:type="dxa"/>
          </w:tcPr>
          <w:p>
            <w:pPr>
              <w:spacing w:after="0"/>
              <w:jc w:val="right"/>
            </w:pPr>
            <w:r>
              <w:rPr>
                <w:sz w:val="18"/>
                <w:szCs w:val="18"/>
              </w:rPr>
              <w:t xml:space="preserve">+14,3 %</w:t>
            </w:r>
          </w:p>
        </w:tc>
      </w:tr>
      <w:tr>
        <w:trPr>
          <w:cantSplit/>
        </w:trPr>
        <w:tc>
          <w:tcPr>
            <w:tcW w:w="3662" w:type="dxa"/>
          </w:tcPr>
          <w:p>
            <w:pPr>
              <w:spacing w:after="0"/>
              <w:jc w:val="left"/>
            </w:pPr>
            <w:r>
              <w:rPr>
                <w:sz w:val="18"/>
                <w:szCs w:val="18"/>
              </w:rPr>
              <w:t xml:space="preserve">Autres charges d'exploitation bancaire</w:t>
            </w:r>
          </w:p>
        </w:tc>
        <w:tc>
          <w:tcPr>
            <w:tcW w:w="1195" w:type="dxa"/>
          </w:tcPr>
          <w:p>
            <w:pPr>
              <w:spacing w:after="0"/>
              <w:jc w:val="right"/>
            </w:pPr>
            <w:r>
              <w:rPr>
                <w:sz w:val="18"/>
                <w:szCs w:val="18"/>
              </w:rPr>
              <w:t xml:space="preserve">200</w:t>
            </w:r>
          </w:p>
        </w:tc>
        <w:tc>
          <w:tcPr>
            <w:tcW w:w="1195" w:type="dxa"/>
          </w:tcPr>
          <w:p>
            <w:pPr>
              <w:spacing w:after="0"/>
              <w:jc w:val="right"/>
            </w:pPr>
            <w:r>
              <w:rPr>
                <w:sz w:val="18"/>
                <w:szCs w:val="18"/>
              </w:rPr>
              <w:t xml:space="preserve">220</w:t>
            </w:r>
          </w:p>
        </w:tc>
        <w:tc>
          <w:tcPr>
            <w:tcW w:w="1195" w:type="dxa"/>
          </w:tcPr>
          <w:p>
            <w:pPr>
              <w:spacing w:after="0"/>
              <w:jc w:val="right"/>
            </w:pPr>
            <w:r>
              <w:rPr>
                <w:sz w:val="18"/>
                <w:szCs w:val="18"/>
              </w:rPr>
              <w:t xml:space="preserve">240</w:t>
            </w:r>
          </w:p>
        </w:tc>
        <w:tc>
          <w:tcPr>
            <w:tcW w:w="1195" w:type="dxa"/>
          </w:tcPr>
          <w:p>
            <w:pPr>
              <w:spacing w:after="0"/>
              <w:jc w:val="right"/>
            </w:pPr>
            <w:r>
              <w:rPr>
                <w:sz w:val="18"/>
                <w:szCs w:val="18"/>
              </w:rPr>
              <w:t xml:space="preserve">+10,0 %</w:t>
            </w:r>
          </w:p>
        </w:tc>
        <w:tc>
          <w:tcPr>
            <w:tcW w:w="1195" w:type="dxa"/>
          </w:tcPr>
          <w:p>
            <w:pPr>
              <w:spacing w:after="0"/>
              <w:jc w:val="right"/>
            </w:pPr>
            <w:r>
              <w:rPr>
                <w:sz w:val="18"/>
                <w:szCs w:val="18"/>
              </w:rPr>
              <w:t xml:space="preserve">+9,1 %</w:t>
            </w:r>
          </w:p>
        </w:tc>
      </w:tr>
      <w:tr>
        <w:trPr>
          <w:cantSplit/>
        </w:trPr>
        <w:tc>
          <w:tcPr>
            <w:tcW w:w="3662" w:type="dxa"/>
            <w:shd w:val="clear" w:color="auto" w:fill="F5F7F5"/>
          </w:tcPr>
          <w:p>
            <w:pPr>
              <w:spacing w:after="0"/>
              <w:jc w:val="left"/>
            </w:pPr>
            <w:r>
              <w:rPr>
                <w:b/>
                <w:sz w:val="18"/>
                <w:szCs w:val="18"/>
              </w:rPr>
              <w:t xml:space="preserve">Produit net bancaire (PNB)</w:t>
            </w:r>
          </w:p>
        </w:tc>
        <w:tc>
          <w:tcPr>
            <w:tcW w:w="1195" w:type="dxa"/>
            <w:shd w:val="clear" w:color="auto" w:fill="F5F7F5"/>
          </w:tcPr>
          <w:p>
            <w:pPr>
              <w:spacing w:after="0"/>
              <w:jc w:val="right"/>
            </w:pPr>
            <w:r>
              <w:rPr>
                <w:b/>
                <w:sz w:val="18"/>
                <w:szCs w:val="18"/>
              </w:rPr>
              <w:t xml:space="preserve">16 822</w:t>
            </w:r>
          </w:p>
        </w:tc>
        <w:tc>
          <w:tcPr>
            <w:tcW w:w="1195" w:type="dxa"/>
            <w:shd w:val="clear" w:color="auto" w:fill="F5F7F5"/>
          </w:tcPr>
          <w:p>
            <w:pPr>
              <w:spacing w:after="0"/>
              <w:jc w:val="right"/>
            </w:pPr>
            <w:r>
              <w:rPr>
                <w:b/>
                <w:sz w:val="18"/>
                <w:szCs w:val="18"/>
              </w:rPr>
              <w:t xml:space="preserve">17 469</w:t>
            </w:r>
          </w:p>
        </w:tc>
        <w:tc>
          <w:tcPr>
            <w:tcW w:w="1195" w:type="dxa"/>
            <w:shd w:val="clear" w:color="auto" w:fill="F5F7F5"/>
          </w:tcPr>
          <w:p>
            <w:pPr>
              <w:spacing w:after="0"/>
              <w:jc w:val="right"/>
            </w:pPr>
            <w:r>
              <w:rPr>
                <w:b/>
                <w:sz w:val="18"/>
                <w:szCs w:val="18"/>
              </w:rPr>
              <w:t xml:space="preserve">19 620</w:t>
            </w:r>
          </w:p>
        </w:tc>
        <w:tc>
          <w:tcPr>
            <w:tcW w:w="1195" w:type="dxa"/>
            <w:shd w:val="clear" w:color="auto" w:fill="F5F7F5"/>
          </w:tcPr>
          <w:p>
            <w:pPr>
              <w:spacing w:after="0"/>
              <w:jc w:val="right"/>
            </w:pPr>
            <w:r>
              <w:rPr>
                <w:b/>
                <w:sz w:val="18"/>
                <w:szCs w:val="18"/>
              </w:rPr>
              <w:t xml:space="preserve">+3,8 %</w:t>
            </w:r>
          </w:p>
        </w:tc>
        <w:tc>
          <w:tcPr>
            <w:tcW w:w="1195" w:type="dxa"/>
            <w:shd w:val="clear" w:color="auto" w:fill="F5F7F5"/>
          </w:tcPr>
          <w:p>
            <w:pPr>
              <w:spacing w:after="0"/>
              <w:jc w:val="right"/>
            </w:pPr>
            <w:r>
              <w:rPr>
                <w:b/>
                <w:sz w:val="18"/>
                <w:szCs w:val="18"/>
              </w:rPr>
              <w:t xml:space="preserve">+12,3 %</w:t>
            </w:r>
          </w:p>
        </w:tc>
      </w:tr>
      <w:tr>
        <w:trPr>
          <w:cantSplit/>
        </w:trPr>
        <w:tc>
          <w:tcPr>
            <w:tcW w:w="3662" w:type="dxa"/>
          </w:tcPr>
          <w:p>
            <w:pPr>
              <w:spacing w:after="0"/>
              <w:jc w:val="left"/>
            </w:pPr>
            <w:r>
              <w:rPr>
                <w:sz w:val="18"/>
                <w:szCs w:val="18"/>
              </w:rPr>
              <w:t xml:space="preserve">Subventions d'investissement</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w:t>
            </w:r>
          </w:p>
        </w:tc>
        <w:tc>
          <w:tcPr>
            <w:tcW w:w="1195" w:type="dxa"/>
          </w:tcPr>
          <w:p>
            <w:pPr>
              <w:spacing w:after="0"/>
              <w:jc w:val="right"/>
            </w:pPr>
            <w:r>
              <w:rPr>
                <w:sz w:val="18"/>
                <w:szCs w:val="18"/>
              </w:rPr>
              <w:t xml:space="preserve">—</w:t>
            </w:r>
          </w:p>
        </w:tc>
      </w:tr>
      <w:tr>
        <w:trPr>
          <w:cantSplit/>
        </w:trPr>
        <w:tc>
          <w:tcPr>
            <w:tcW w:w="3662" w:type="dxa"/>
          </w:tcPr>
          <w:p>
            <w:pPr>
              <w:spacing w:after="0"/>
              <w:jc w:val="left"/>
            </w:pPr>
            <w:r>
              <w:rPr>
                <w:sz w:val="18"/>
                <w:szCs w:val="18"/>
              </w:rPr>
              <w:t xml:space="preserve">Charges générales d'exploitation</w:t>
            </w:r>
          </w:p>
        </w:tc>
        <w:tc>
          <w:tcPr>
            <w:tcW w:w="1195" w:type="dxa"/>
          </w:tcPr>
          <w:p>
            <w:pPr>
              <w:spacing w:after="0"/>
              <w:jc w:val="right"/>
            </w:pPr>
            <w:r>
              <w:rPr>
                <w:sz w:val="18"/>
                <w:szCs w:val="18"/>
              </w:rPr>
              <w:t xml:space="preserve">9 000</w:t>
            </w:r>
          </w:p>
        </w:tc>
        <w:tc>
          <w:tcPr>
            <w:tcW w:w="1195" w:type="dxa"/>
          </w:tcPr>
          <w:p>
            <w:pPr>
              <w:spacing w:after="0"/>
              <w:jc w:val="right"/>
            </w:pPr>
            <w:r>
              <w:rPr>
                <w:sz w:val="18"/>
                <w:szCs w:val="18"/>
              </w:rPr>
              <w:t xml:space="preserve">9 300</w:t>
            </w:r>
          </w:p>
        </w:tc>
        <w:tc>
          <w:tcPr>
            <w:tcW w:w="1195" w:type="dxa"/>
          </w:tcPr>
          <w:p>
            <w:pPr>
              <w:spacing w:after="0"/>
              <w:jc w:val="right"/>
            </w:pPr>
            <w:r>
              <w:rPr>
                <w:sz w:val="18"/>
                <w:szCs w:val="18"/>
              </w:rPr>
              <w:t xml:space="preserve">9 800</w:t>
            </w:r>
          </w:p>
        </w:tc>
        <w:tc>
          <w:tcPr>
            <w:tcW w:w="1195" w:type="dxa"/>
          </w:tcPr>
          <w:p>
            <w:pPr>
              <w:spacing w:after="0"/>
              <w:jc w:val="right"/>
            </w:pPr>
            <w:r>
              <w:rPr>
                <w:sz w:val="18"/>
                <w:szCs w:val="18"/>
              </w:rPr>
              <w:t xml:space="preserve">+3,3 %</w:t>
            </w:r>
          </w:p>
        </w:tc>
        <w:tc>
          <w:tcPr>
            <w:tcW w:w="1195" w:type="dxa"/>
          </w:tcPr>
          <w:p>
            <w:pPr>
              <w:spacing w:after="0"/>
              <w:jc w:val="right"/>
            </w:pPr>
            <w:r>
              <w:rPr>
                <w:sz w:val="18"/>
                <w:szCs w:val="18"/>
              </w:rPr>
              <w:t xml:space="preserve">+5,4 %</w:t>
            </w:r>
          </w:p>
        </w:tc>
      </w:tr>
      <w:tr>
        <w:trPr>
          <w:cantSplit/>
        </w:trPr>
        <w:tc>
          <w:tcPr>
            <w:tcW w:w="3662" w:type="dxa"/>
          </w:tcPr>
          <w:p>
            <w:pPr>
              <w:spacing w:after="0"/>
              <w:jc w:val="left"/>
            </w:pPr>
            <w:r>
              <w:rPr>
                <w:sz w:val="18"/>
                <w:szCs w:val="18"/>
              </w:rPr>
              <w:t xml:space="preserve">Dotations aux amortissements et dépréciations des immobilisations</w:t>
            </w:r>
          </w:p>
        </w:tc>
        <w:tc>
          <w:tcPr>
            <w:tcW w:w="1195" w:type="dxa"/>
          </w:tcPr>
          <w:p>
            <w:pPr>
              <w:spacing w:after="0"/>
              <w:jc w:val="right"/>
            </w:pPr>
            <w:r>
              <w:rPr>
                <w:sz w:val="18"/>
                <w:szCs w:val="18"/>
              </w:rPr>
              <w:t xml:space="preserve">1 500</w:t>
            </w:r>
          </w:p>
        </w:tc>
        <w:tc>
          <w:tcPr>
            <w:tcW w:w="1195" w:type="dxa"/>
          </w:tcPr>
          <w:p>
            <w:pPr>
              <w:spacing w:after="0"/>
              <w:jc w:val="right"/>
            </w:pPr>
            <w:r>
              <w:rPr>
                <w:sz w:val="18"/>
                <w:szCs w:val="18"/>
              </w:rPr>
              <w:t xml:space="preserve">1 600</w:t>
            </w:r>
          </w:p>
        </w:tc>
        <w:tc>
          <w:tcPr>
            <w:tcW w:w="1195" w:type="dxa"/>
          </w:tcPr>
          <w:p>
            <w:pPr>
              <w:spacing w:after="0"/>
              <w:jc w:val="right"/>
            </w:pPr>
            <w:r>
              <w:rPr>
                <w:sz w:val="18"/>
                <w:szCs w:val="18"/>
              </w:rPr>
              <w:t xml:space="preserve">1 700</w:t>
            </w:r>
          </w:p>
        </w:tc>
        <w:tc>
          <w:tcPr>
            <w:tcW w:w="1195" w:type="dxa"/>
          </w:tcPr>
          <w:p>
            <w:pPr>
              <w:spacing w:after="0"/>
              <w:jc w:val="right"/>
            </w:pPr>
            <w:r>
              <w:rPr>
                <w:sz w:val="18"/>
                <w:szCs w:val="18"/>
              </w:rPr>
              <w:t xml:space="preserve">+6,7 %</w:t>
            </w:r>
          </w:p>
        </w:tc>
        <w:tc>
          <w:tcPr>
            <w:tcW w:w="1195" w:type="dxa"/>
          </w:tcPr>
          <w:p>
            <w:pPr>
              <w:spacing w:after="0"/>
              <w:jc w:val="right"/>
            </w:pPr>
            <w:r>
              <w:rPr>
                <w:sz w:val="18"/>
                <w:szCs w:val="18"/>
              </w:rPr>
              <w:t xml:space="preserve">+6,3 %</w:t>
            </w:r>
          </w:p>
        </w:tc>
      </w:tr>
      <w:tr>
        <w:trPr>
          <w:cantSplit/>
        </w:trPr>
        <w:tc>
          <w:tcPr>
            <w:tcW w:w="3662" w:type="dxa"/>
            <w:shd w:val="clear" w:color="auto" w:fill="F5F7F5"/>
          </w:tcPr>
          <w:p>
            <w:pPr>
              <w:spacing w:after="0"/>
              <w:jc w:val="left"/>
            </w:pPr>
            <w:r>
              <w:rPr>
                <w:b/>
                <w:sz w:val="18"/>
                <w:szCs w:val="18"/>
              </w:rPr>
              <w:t xml:space="preserve">Résultat brut d'exploitation</w:t>
            </w:r>
          </w:p>
        </w:tc>
        <w:tc>
          <w:tcPr>
            <w:tcW w:w="1195" w:type="dxa"/>
            <w:shd w:val="clear" w:color="auto" w:fill="F5F7F5"/>
          </w:tcPr>
          <w:p>
            <w:pPr>
              <w:spacing w:after="0"/>
              <w:jc w:val="right"/>
            </w:pPr>
            <w:r>
              <w:rPr>
                <w:b/>
                <w:sz w:val="18"/>
                <w:szCs w:val="18"/>
              </w:rPr>
              <w:t xml:space="preserve">6 322</w:t>
            </w:r>
          </w:p>
        </w:tc>
        <w:tc>
          <w:tcPr>
            <w:tcW w:w="1195" w:type="dxa"/>
            <w:shd w:val="clear" w:color="auto" w:fill="F5F7F5"/>
          </w:tcPr>
          <w:p>
            <w:pPr>
              <w:spacing w:after="0"/>
              <w:jc w:val="right"/>
            </w:pPr>
            <w:r>
              <w:rPr>
                <w:b/>
                <w:sz w:val="18"/>
                <w:szCs w:val="18"/>
              </w:rPr>
              <w:t xml:space="preserve">6 569</w:t>
            </w:r>
          </w:p>
        </w:tc>
        <w:tc>
          <w:tcPr>
            <w:tcW w:w="1195" w:type="dxa"/>
            <w:shd w:val="clear" w:color="auto" w:fill="F5F7F5"/>
          </w:tcPr>
          <w:p>
            <w:pPr>
              <w:spacing w:after="0"/>
              <w:jc w:val="right"/>
            </w:pPr>
            <w:r>
              <w:rPr>
                <w:b/>
                <w:sz w:val="18"/>
                <w:szCs w:val="18"/>
              </w:rPr>
              <w:t xml:space="preserve">8 120</w:t>
            </w:r>
          </w:p>
        </w:tc>
        <w:tc>
          <w:tcPr>
            <w:tcW w:w="1195" w:type="dxa"/>
            <w:shd w:val="clear" w:color="auto" w:fill="F5F7F5"/>
          </w:tcPr>
          <w:p>
            <w:pPr>
              <w:spacing w:after="0"/>
              <w:jc w:val="right"/>
            </w:pPr>
            <w:r>
              <w:rPr>
                <w:b/>
                <w:sz w:val="18"/>
                <w:szCs w:val="18"/>
              </w:rPr>
              <w:t xml:space="preserve">+3,9 %</w:t>
            </w:r>
          </w:p>
        </w:tc>
        <w:tc>
          <w:tcPr>
            <w:tcW w:w="1195" w:type="dxa"/>
            <w:shd w:val="clear" w:color="auto" w:fill="F5F7F5"/>
          </w:tcPr>
          <w:p>
            <w:pPr>
              <w:spacing w:after="0"/>
              <w:jc w:val="right"/>
            </w:pPr>
            <w:r>
              <w:rPr>
                <w:b/>
                <w:sz w:val="18"/>
                <w:szCs w:val="18"/>
              </w:rPr>
              <w:t xml:space="preserve">+23,6 %</w:t>
            </w:r>
          </w:p>
        </w:tc>
      </w:tr>
      <w:tr>
        <w:trPr>
          <w:cantSplit/>
        </w:trPr>
        <w:tc>
          <w:tcPr>
            <w:tcW w:w="3662" w:type="dxa"/>
          </w:tcPr>
          <w:p>
            <w:pPr>
              <w:spacing w:after="0"/>
              <w:jc w:val="left"/>
            </w:pPr>
            <w:r>
              <w:rPr>
                <w:sz w:val="18"/>
                <w:szCs w:val="18"/>
              </w:rPr>
              <w:t xml:space="preserve">Coût du risque (charge nette, + = charge)</w:t>
            </w:r>
          </w:p>
        </w:tc>
        <w:tc>
          <w:tcPr>
            <w:tcW w:w="1195" w:type="dxa"/>
          </w:tcPr>
          <w:p>
            <w:pPr>
              <w:spacing w:after="0"/>
              <w:jc w:val="right"/>
            </w:pPr>
            <w:r>
              <w:rPr>
                <w:sz w:val="18"/>
                <w:szCs w:val="18"/>
              </w:rPr>
              <w:t xml:space="preserve">1 200</w:t>
            </w:r>
          </w:p>
        </w:tc>
        <w:tc>
          <w:tcPr>
            <w:tcW w:w="1195" w:type="dxa"/>
          </w:tcPr>
          <w:p>
            <w:pPr>
              <w:spacing w:after="0"/>
              <w:jc w:val="right"/>
            </w:pPr>
            <w:r>
              <w:rPr>
                <w:sz w:val="18"/>
                <w:szCs w:val="18"/>
              </w:rPr>
              <w:t xml:space="preserve">900</w:t>
            </w:r>
          </w:p>
        </w:tc>
        <w:tc>
          <w:tcPr>
            <w:tcW w:w="1195" w:type="dxa"/>
          </w:tcPr>
          <w:p>
            <w:pPr>
              <w:spacing w:after="0"/>
              <w:jc w:val="right"/>
            </w:pPr>
            <w:r>
              <w:rPr>
                <w:sz w:val="18"/>
                <w:szCs w:val="18"/>
              </w:rPr>
              <w:t xml:space="preserve">2 100</w:t>
            </w:r>
          </w:p>
        </w:tc>
        <w:tc>
          <w:tcPr>
            <w:tcW w:w="1195" w:type="dxa"/>
          </w:tcPr>
          <w:p>
            <w:pPr>
              <w:spacing w:after="0"/>
              <w:jc w:val="right"/>
            </w:pPr>
            <w:r>
              <w:rPr>
                <w:sz w:val="18"/>
                <w:szCs w:val="18"/>
              </w:rPr>
              <w:t xml:space="preserve">−25,0 %</w:t>
            </w:r>
          </w:p>
        </w:tc>
        <w:tc>
          <w:tcPr>
            <w:tcW w:w="1195" w:type="dxa"/>
          </w:tcPr>
          <w:p>
            <w:pPr>
              <w:spacing w:after="0"/>
              <w:jc w:val="right"/>
            </w:pPr>
            <w:r>
              <w:rPr>
                <w:sz w:val="18"/>
                <w:szCs w:val="18"/>
              </w:rPr>
              <w:t xml:space="preserve">+133,3 %</w:t>
            </w:r>
          </w:p>
        </w:tc>
      </w:tr>
      <w:tr>
        <w:trPr>
          <w:cantSplit/>
        </w:trPr>
        <w:tc>
          <w:tcPr>
            <w:tcW w:w="3662" w:type="dxa"/>
            <w:shd w:val="clear" w:color="auto" w:fill="F5F7F5"/>
          </w:tcPr>
          <w:p>
            <w:pPr>
              <w:spacing w:after="0"/>
              <w:jc w:val="left"/>
            </w:pPr>
            <w:r>
              <w:rPr>
                <w:b/>
                <w:sz w:val="18"/>
                <w:szCs w:val="18"/>
              </w:rPr>
              <w:t xml:space="preserve">Résultat d'exploitation</w:t>
            </w:r>
          </w:p>
        </w:tc>
        <w:tc>
          <w:tcPr>
            <w:tcW w:w="1195" w:type="dxa"/>
            <w:shd w:val="clear" w:color="auto" w:fill="F5F7F5"/>
          </w:tcPr>
          <w:p>
            <w:pPr>
              <w:spacing w:after="0"/>
              <w:jc w:val="right"/>
            </w:pPr>
            <w:r>
              <w:rPr>
                <w:b/>
                <w:sz w:val="18"/>
                <w:szCs w:val="18"/>
              </w:rPr>
              <w:t xml:space="preserve">5 122</w:t>
            </w:r>
          </w:p>
        </w:tc>
        <w:tc>
          <w:tcPr>
            <w:tcW w:w="1195" w:type="dxa"/>
            <w:shd w:val="clear" w:color="auto" w:fill="F5F7F5"/>
          </w:tcPr>
          <w:p>
            <w:pPr>
              <w:spacing w:after="0"/>
              <w:jc w:val="right"/>
            </w:pPr>
            <w:r>
              <w:rPr>
                <w:b/>
                <w:sz w:val="18"/>
                <w:szCs w:val="18"/>
              </w:rPr>
              <w:t xml:space="preserve">5 669</w:t>
            </w:r>
          </w:p>
        </w:tc>
        <w:tc>
          <w:tcPr>
            <w:tcW w:w="1195" w:type="dxa"/>
            <w:shd w:val="clear" w:color="auto" w:fill="F5F7F5"/>
          </w:tcPr>
          <w:p>
            <w:pPr>
              <w:spacing w:after="0"/>
              <w:jc w:val="right"/>
            </w:pPr>
            <w:r>
              <w:rPr>
                <w:b/>
                <w:sz w:val="18"/>
                <w:szCs w:val="18"/>
              </w:rPr>
              <w:t xml:space="preserve">6 020</w:t>
            </w:r>
          </w:p>
        </w:tc>
        <w:tc>
          <w:tcPr>
            <w:tcW w:w="1195" w:type="dxa"/>
            <w:shd w:val="clear" w:color="auto" w:fill="F5F7F5"/>
          </w:tcPr>
          <w:p>
            <w:pPr>
              <w:spacing w:after="0"/>
              <w:jc w:val="right"/>
            </w:pPr>
            <w:r>
              <w:rPr>
                <w:b/>
                <w:sz w:val="18"/>
                <w:szCs w:val="18"/>
              </w:rPr>
              <w:t xml:space="preserve">+10,7 %</w:t>
            </w:r>
          </w:p>
        </w:tc>
        <w:tc>
          <w:tcPr>
            <w:tcW w:w="1195" w:type="dxa"/>
            <w:shd w:val="clear" w:color="auto" w:fill="F5F7F5"/>
          </w:tcPr>
          <w:p>
            <w:pPr>
              <w:spacing w:after="0"/>
              <w:jc w:val="right"/>
            </w:pPr>
            <w:r>
              <w:rPr>
                <w:b/>
                <w:sz w:val="18"/>
                <w:szCs w:val="18"/>
              </w:rPr>
              <w:t xml:space="preserve">+6,2 %</w:t>
            </w:r>
          </w:p>
        </w:tc>
      </w:tr>
      <w:tr>
        <w:trPr>
          <w:cantSplit/>
        </w:trPr>
        <w:tc>
          <w:tcPr>
            <w:tcW w:w="3662" w:type="dxa"/>
          </w:tcPr>
          <w:p>
            <w:pPr>
              <w:spacing w:after="0"/>
              <w:jc w:val="left"/>
            </w:pPr>
            <w:r>
              <w:rPr>
                <w:sz w:val="18"/>
                <w:szCs w:val="18"/>
              </w:rPr>
              <w:t xml:space="preserve">Gains ou pertes nets sur actifs immobilisés</w:t>
            </w:r>
          </w:p>
        </w:tc>
        <w:tc>
          <w:tcPr>
            <w:tcW w:w="1195" w:type="dxa"/>
          </w:tcPr>
          <w:p>
            <w:pPr>
              <w:spacing w:after="0"/>
              <w:jc w:val="right"/>
            </w:pPr>
            <w:r>
              <w:rPr>
                <w:sz w:val="18"/>
                <w:szCs w:val="18"/>
              </w:rPr>
              <w:t xml:space="preserve">10</w:t>
            </w:r>
          </w:p>
        </w:tc>
        <w:tc>
          <w:tcPr>
            <w:tcW w:w="1195" w:type="dxa"/>
          </w:tcPr>
          <w:p>
            <w:pPr>
              <w:spacing w:after="0"/>
              <w:jc w:val="right"/>
            </w:pPr>
            <w:r>
              <w:rPr>
                <w:sz w:val="18"/>
                <w:szCs w:val="18"/>
              </w:rPr>
              <w:t xml:space="preserve">0</w:t>
            </w:r>
          </w:p>
        </w:tc>
        <w:tc>
          <w:tcPr>
            <w:tcW w:w="1195" w:type="dxa"/>
          </w:tcPr>
          <w:p>
            <w:pPr>
              <w:spacing w:after="0"/>
              <w:jc w:val="right"/>
            </w:pPr>
            <w:r>
              <w:rPr>
                <w:sz w:val="18"/>
                <w:szCs w:val="18"/>
              </w:rPr>
              <w:t xml:space="preserve">−20</w:t>
            </w:r>
          </w:p>
        </w:tc>
        <w:tc>
          <w:tcPr>
            <w:tcW w:w="1195" w:type="dxa"/>
          </w:tcPr>
          <w:p>
            <w:pPr>
              <w:spacing w:after="0"/>
              <w:jc w:val="right"/>
            </w:pPr>
            <w:r>
              <w:rPr>
                <w:sz w:val="18"/>
                <w:szCs w:val="18"/>
              </w:rPr>
              <w:t xml:space="preserve">−100,0 %</w:t>
            </w:r>
          </w:p>
        </w:tc>
        <w:tc>
          <w:tcPr>
            <w:tcW w:w="1195" w:type="dxa"/>
          </w:tcPr>
          <w:p>
            <w:pPr>
              <w:spacing w:after="0"/>
              <w:jc w:val="right"/>
            </w:pPr>
            <w:r>
              <w:rPr>
                <w:sz w:val="18"/>
                <w:szCs w:val="18"/>
              </w:rPr>
              <w:t xml:space="preserve">—</w:t>
            </w:r>
          </w:p>
        </w:tc>
      </w:tr>
      <w:tr>
        <w:trPr>
          <w:cantSplit/>
        </w:trPr>
        <w:tc>
          <w:tcPr>
            <w:tcW w:w="3662" w:type="dxa"/>
            <w:shd w:val="clear" w:color="auto" w:fill="F5F7F5"/>
          </w:tcPr>
          <w:p>
            <w:pPr>
              <w:spacing w:after="0"/>
              <w:jc w:val="left"/>
            </w:pPr>
            <w:r>
              <w:rPr>
                <w:b/>
                <w:sz w:val="18"/>
                <w:szCs w:val="18"/>
              </w:rPr>
              <w:t xml:space="preserve">Résultat avant impôt</w:t>
            </w:r>
          </w:p>
        </w:tc>
        <w:tc>
          <w:tcPr>
            <w:tcW w:w="1195" w:type="dxa"/>
            <w:shd w:val="clear" w:color="auto" w:fill="F5F7F5"/>
          </w:tcPr>
          <w:p>
            <w:pPr>
              <w:spacing w:after="0"/>
              <w:jc w:val="right"/>
            </w:pPr>
            <w:r>
              <w:rPr>
                <w:b/>
                <w:sz w:val="18"/>
                <w:szCs w:val="18"/>
              </w:rPr>
              <w:t xml:space="preserve">5 132</w:t>
            </w:r>
          </w:p>
        </w:tc>
        <w:tc>
          <w:tcPr>
            <w:tcW w:w="1195" w:type="dxa"/>
            <w:shd w:val="clear" w:color="auto" w:fill="F5F7F5"/>
          </w:tcPr>
          <w:p>
            <w:pPr>
              <w:spacing w:after="0"/>
              <w:jc w:val="right"/>
            </w:pPr>
            <w:r>
              <w:rPr>
                <w:b/>
                <w:sz w:val="18"/>
                <w:szCs w:val="18"/>
              </w:rPr>
              <w:t xml:space="preserve">5 669</w:t>
            </w:r>
          </w:p>
        </w:tc>
        <w:tc>
          <w:tcPr>
            <w:tcW w:w="1195" w:type="dxa"/>
            <w:shd w:val="clear" w:color="auto" w:fill="F5F7F5"/>
          </w:tcPr>
          <w:p>
            <w:pPr>
              <w:spacing w:after="0"/>
              <w:jc w:val="right"/>
            </w:pPr>
            <w:r>
              <w:rPr>
                <w:b/>
                <w:sz w:val="18"/>
                <w:szCs w:val="18"/>
              </w:rPr>
              <w:t xml:space="preserve">6 000</w:t>
            </w:r>
          </w:p>
        </w:tc>
        <w:tc>
          <w:tcPr>
            <w:tcW w:w="1195" w:type="dxa"/>
            <w:shd w:val="clear" w:color="auto" w:fill="F5F7F5"/>
          </w:tcPr>
          <w:p>
            <w:pPr>
              <w:spacing w:after="0"/>
              <w:jc w:val="right"/>
            </w:pPr>
            <w:r>
              <w:rPr>
                <w:b/>
                <w:sz w:val="18"/>
                <w:szCs w:val="18"/>
              </w:rPr>
              <w:t xml:space="preserve">+10,5 %</w:t>
            </w:r>
          </w:p>
        </w:tc>
        <w:tc>
          <w:tcPr>
            <w:tcW w:w="1195" w:type="dxa"/>
            <w:shd w:val="clear" w:color="auto" w:fill="F5F7F5"/>
          </w:tcPr>
          <w:p>
            <w:pPr>
              <w:spacing w:after="0"/>
              <w:jc w:val="right"/>
            </w:pPr>
            <w:r>
              <w:rPr>
                <w:b/>
                <w:sz w:val="18"/>
                <w:szCs w:val="18"/>
              </w:rPr>
              <w:t xml:space="preserve">+5,8 %</w:t>
            </w:r>
          </w:p>
        </w:tc>
      </w:tr>
      <w:tr>
        <w:trPr>
          <w:cantSplit/>
        </w:trPr>
        <w:tc>
          <w:tcPr>
            <w:tcW w:w="3662" w:type="dxa"/>
          </w:tcPr>
          <w:p>
            <w:pPr>
              <w:spacing w:after="0"/>
              <w:jc w:val="left"/>
            </w:pPr>
            <w:r>
              <w:rPr>
                <w:sz w:val="18"/>
                <w:szCs w:val="18"/>
              </w:rPr>
              <w:t xml:space="preserve">Impôts sur les bénéfices</w:t>
            </w:r>
          </w:p>
        </w:tc>
        <w:tc>
          <w:tcPr>
            <w:tcW w:w="1195" w:type="dxa"/>
          </w:tcPr>
          <w:p>
            <w:pPr>
              <w:spacing w:after="0"/>
              <w:jc w:val="right"/>
            </w:pPr>
            <w:r>
              <w:rPr>
                <w:sz w:val="18"/>
                <w:szCs w:val="18"/>
              </w:rPr>
              <w:t xml:space="preserve">400</w:t>
            </w:r>
          </w:p>
        </w:tc>
        <w:tc>
          <w:tcPr>
            <w:tcW w:w="1195" w:type="dxa"/>
          </w:tcPr>
          <w:p>
            <w:pPr>
              <w:spacing w:after="0"/>
              <w:jc w:val="right"/>
            </w:pPr>
            <w:r>
              <w:rPr>
                <w:sz w:val="18"/>
                <w:szCs w:val="18"/>
              </w:rPr>
              <w:t xml:space="preserve">500</w:t>
            </w:r>
          </w:p>
        </w:tc>
        <w:tc>
          <w:tcPr>
            <w:tcW w:w="1195" w:type="dxa"/>
          </w:tcPr>
          <w:p>
            <w:pPr>
              <w:spacing w:after="0"/>
              <w:jc w:val="right"/>
            </w:pPr>
            <w:r>
              <w:rPr>
                <w:sz w:val="18"/>
                <w:szCs w:val="18"/>
              </w:rPr>
              <w:t xml:space="preserve">600</w:t>
            </w:r>
          </w:p>
        </w:tc>
        <w:tc>
          <w:tcPr>
            <w:tcW w:w="1195" w:type="dxa"/>
          </w:tcPr>
          <w:p>
            <w:pPr>
              <w:spacing w:after="0"/>
              <w:jc w:val="right"/>
            </w:pPr>
            <w:r>
              <w:rPr>
                <w:sz w:val="18"/>
                <w:szCs w:val="18"/>
              </w:rPr>
              <w:t xml:space="preserve">+25,0 %</w:t>
            </w:r>
          </w:p>
        </w:tc>
        <w:tc>
          <w:tcPr>
            <w:tcW w:w="1195" w:type="dxa"/>
          </w:tcPr>
          <w:p>
            <w:pPr>
              <w:spacing w:after="0"/>
              <w:jc w:val="right"/>
            </w:pPr>
            <w:r>
              <w:rPr>
                <w:sz w:val="18"/>
                <w:szCs w:val="18"/>
              </w:rPr>
              <w:t xml:space="preserve">+20,0 %</w:t>
            </w:r>
          </w:p>
        </w:tc>
      </w:tr>
      <w:tr>
        <w:trPr>
          <w:cantSplit/>
        </w:trPr>
        <w:tc>
          <w:tcPr>
            <w:tcW w:w="3662" w:type="dxa"/>
            <w:shd w:val="clear" w:color="auto" w:fill="F5F7F5"/>
          </w:tcPr>
          <w:p>
            <w:pPr>
              <w:spacing w:after="0"/>
              <w:jc w:val="left"/>
            </w:pPr>
            <w:r>
              <w:rPr>
                <w:b/>
                <w:sz w:val="18"/>
                <w:szCs w:val="18"/>
              </w:rPr>
              <w:t xml:space="preserve">Résultat net</w:t>
            </w:r>
          </w:p>
        </w:tc>
        <w:tc>
          <w:tcPr>
            <w:tcW w:w="1195" w:type="dxa"/>
            <w:shd w:val="clear" w:color="auto" w:fill="F5F7F5"/>
          </w:tcPr>
          <w:p>
            <w:pPr>
              <w:spacing w:after="0"/>
              <w:jc w:val="right"/>
            </w:pPr>
            <w:r>
              <w:rPr>
                <w:b/>
                <w:sz w:val="18"/>
                <w:szCs w:val="18"/>
              </w:rPr>
              <w:t xml:space="preserve">4 732</w:t>
            </w:r>
          </w:p>
        </w:tc>
        <w:tc>
          <w:tcPr>
            <w:tcW w:w="1195" w:type="dxa"/>
            <w:shd w:val="clear" w:color="auto" w:fill="F5F7F5"/>
          </w:tcPr>
          <w:p>
            <w:pPr>
              <w:spacing w:after="0"/>
              <w:jc w:val="right"/>
            </w:pPr>
            <w:r>
              <w:rPr>
                <w:b/>
                <w:sz w:val="18"/>
                <w:szCs w:val="18"/>
              </w:rPr>
              <w:t xml:space="preserve">5 169</w:t>
            </w:r>
          </w:p>
        </w:tc>
        <w:tc>
          <w:tcPr>
            <w:tcW w:w="1195" w:type="dxa"/>
            <w:shd w:val="clear" w:color="auto" w:fill="F5F7F5"/>
          </w:tcPr>
          <w:p>
            <w:pPr>
              <w:spacing w:after="0"/>
              <w:jc w:val="right"/>
            </w:pPr>
            <w:r>
              <w:rPr>
                <w:b/>
                <w:sz w:val="18"/>
                <w:szCs w:val="18"/>
              </w:rPr>
              <w:t xml:space="preserve">5 400</w:t>
            </w:r>
          </w:p>
        </w:tc>
        <w:tc>
          <w:tcPr>
            <w:tcW w:w="1195" w:type="dxa"/>
            <w:shd w:val="clear" w:color="auto" w:fill="F5F7F5"/>
          </w:tcPr>
          <w:p>
            <w:pPr>
              <w:spacing w:after="0"/>
              <w:jc w:val="right"/>
            </w:pPr>
            <w:r>
              <w:rPr>
                <w:b/>
                <w:sz w:val="18"/>
                <w:szCs w:val="18"/>
              </w:rPr>
              <w:t xml:space="preserve">+9,2 %</w:t>
            </w:r>
          </w:p>
        </w:tc>
        <w:tc>
          <w:tcPr>
            <w:tcW w:w="1195" w:type="dxa"/>
            <w:shd w:val="clear" w:color="auto" w:fill="F5F7F5"/>
          </w:tcPr>
          <w:p>
            <w:pPr>
              <w:spacing w:after="0"/>
              <w:jc w:val="right"/>
            </w:pPr>
            <w:r>
              <w:rPr>
                <w:b/>
                <w:sz w:val="18"/>
                <w:szCs w:val="18"/>
              </w:rPr>
              <w:t xml:space="preserve">+4,5 %</w:t>
            </w:r>
          </w:p>
        </w:tc>
      </w:tr>
    </w:tbl>
    <w:p>
      <w:pPr>
        <w:spacing w:after="60"/>
      </w:pPr>
    </w:p>
    <w:p>
      <w:r>
        <w:t xml:space="preserve">Le PNB progresse de </w:t>
      </w:r>
      <w:r>
        <w:rPr>
          <w:b/>
        </w:rPr>
        <w:t xml:space="preserve">12,3 %</w:t>
      </w:r>
      <w:r>
        <w:t xml:space="preserve"> en 2023 (+2 151 M). Principaux mouvements :</w:t>
      </w:r>
    </w:p>
    <w:p>
      <w:pPr>
        <w:ind w:left="360" w:hanging="220"/>
      </w:pPr>
      <w:r>
        <w:t xml:space="preserve">•  </w:t>
      </w:r>
      <w:r>
        <w:rPr>
          <w:b/>
        </w:rPr>
        <w:t xml:space="preserve">Intérêts reçus</w:t>
      </w:r>
      <w:r>
        <w:t xml:space="preserve"> : +2 000 M (+9,5 %)</w:t>
      </w:r>
    </w:p>
    <w:p>
      <w:pPr>
        <w:ind w:left="360" w:hanging="220"/>
      </w:pPr>
      <w:r>
        <w:t xml:space="preserve">•  </w:t>
      </w:r>
      <w:r>
        <w:rPr>
          <w:b/>
        </w:rPr>
        <w:t xml:space="preserve">Coût du risque</w:t>
      </w:r>
      <w:r>
        <w:t xml:space="preserve"> : +1 200 M (+133,3 %)</w:t>
      </w:r>
    </w:p>
    <w:p>
      <w:pPr>
        <w:ind w:left="360" w:hanging="220"/>
      </w:pPr>
      <w:r>
        <w:t xml:space="preserve">•  </w:t>
      </w:r>
      <w:r>
        <w:rPr>
          <w:b/>
        </w:rPr>
        <w:t xml:space="preserve">Intérêts versés</w:t>
      </w:r>
      <w:r>
        <w:t xml:space="preserve"> : +800 M (+9,8 %)</w:t>
      </w:r>
    </w:p>
    <w:p>
      <w:pPr>
        <w:ind w:left="360" w:hanging="220"/>
      </w:pPr>
      <w:r>
        <w:t xml:space="preserve">•  </w:t>
      </w:r>
      <w:r>
        <w:rPr>
          <w:b/>
        </w:rPr>
        <w:t xml:space="preserve">Commissions reçues</w:t>
      </w:r>
      <w:r>
        <w:t xml:space="preserve"> : +681 M (+13,9 %)</w:t>
      </w:r>
    </w:p>
    <w:p>
      <w:pPr>
        <w:pStyle w:val="Heading1"/>
        <w:keepNext/>
        <w:pageBreakBefore/>
      </w:pPr>
      <w:r>
        <w:t xml:space="preserve">3. Ratios de structure</w:t>
      </w:r>
    </w:p>
    <w:p>
      <w:pPr>
        <w:pStyle w:val="Heading2"/>
        <w:keepNext/>
      </w:pPr>
      <w:r>
        <w:t xml:space="preserve">Transformation</w:t>
      </w:r>
    </w:p>
    <w:p>
      <w:pPr>
        <w:pStyle w:val="Heading3"/>
        <w:keepNext/>
      </w:pPr>
      <w:r>
        <w:t xml:space="preserve">Ratio de transformation</w:t>
      </w:r>
    </w:p>
    <w:p>
      <w:pPr>
        <w:spacing w:after="60"/>
      </w:pPr>
      <w:r>
        <w:rPr>
          <w:i/>
          <w:color w:val="6B7770"/>
          <w:sz w:val="17"/>
          <w:szCs w:val="17"/>
        </w:rPr>
        <w:t xml:space="preserve">Version bilan · seuil ≤ 100,0 % (repère)</w:t>
      </w:r>
    </w:p>
    <w:p>
      <w:r>
        <w:rPr>
          <w:sz w:val="19"/>
          <w:szCs w:val="19"/>
        </w:rPr>
        <w:t xml:space="preserve">Part des dépôts de la clientèle transformée en crédits. Au-delà de 100 %, la banque prête plus qu'elle ne collecte et dépend du marché interbancaire ou de la BCEAO.</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transformation = </m:t>
          </m:r>
          <m:f>
            <m:num>
              <m:r>
                <m:rPr>
                  <m:sty m:val="p"/>
                </m:rPr>
                <w:rPr>
                  <w:rFonts w:ascii="Cambria Math" w:hAnsi="Cambria Math"/>
                </w:rPr>
                <m:t xml:space="preserve">Créances clientèle</m:t>
              </m:r>
            </m:num>
            <m:den>
              <m:r>
                <m:rPr>
                  <m:sty m:val="p"/>
                </m:rPr>
                <w:rPr>
                  <w:rFonts w:ascii="Cambria Math" w:hAnsi="Cambria Math"/>
                </w:rPr>
                <m:t xml:space="preserve">Dépôts clientèle</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transformation = </m:t>
          </m:r>
          <m:f>
            <m:num>
              <m:r>
                <m:rPr>
                  <m:sty m:val="p"/>
                </m:rPr>
                <w:rPr>
                  <w:rFonts w:ascii="Cambria Math" w:hAnsi="Cambria Math"/>
                </w:rPr>
                <m:t xml:space="preserve">131 072</m:t>
              </m:r>
            </m:num>
            <m:den>
              <m:r>
                <m:rPr>
                  <m:sty m:val="p"/>
                </m:rPr>
                <w:rPr>
                  <w:rFonts w:ascii="Cambria Math" w:hAnsi="Cambria Math"/>
                </w:rPr>
                <m:t xml:space="preserve">218 985</m:t>
              </m:r>
            </m:den>
          </m:f>
          <m:r>
            <m:rPr>
              <m:sty m:val="p"/>
            </m:rPr>
            <w:rPr>
              <w:rFonts w:ascii="Cambria Math" w:hAnsi="Cambria Math"/>
            </w:rPr>
            <m:t xml:space="preserve"> = 59,85 %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transformation = </m:t>
          </m:r>
          <m:f>
            <m:num>
              <m:r>
                <m:rPr>
                  <m:sty m:val="p"/>
                </m:rPr>
                <w:rPr>
                  <w:rFonts w:ascii="Cambria Math" w:hAnsi="Cambria Math"/>
                </w:rPr>
                <m:t xml:space="preserve">130 602</m:t>
              </m:r>
            </m:num>
            <m:den>
              <m:r>
                <m:rPr>
                  <m:sty m:val="p"/>
                </m:rPr>
                <w:rPr>
                  <w:rFonts w:ascii="Cambria Math" w:hAnsi="Cambria Math"/>
                </w:rPr>
                <m:t xml:space="preserve">187 843</m:t>
              </m:r>
            </m:den>
          </m:f>
          <m:r>
            <m:rPr>
              <m:sty m:val="p"/>
            </m:rPr>
            <w:rPr>
              <w:rFonts w:ascii="Cambria Math" w:hAnsi="Cambria Math"/>
            </w:rPr>
            <m:t xml:space="preserve"> = 69,53 %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transformation = </m:t>
          </m:r>
          <m:f>
            <m:num>
              <m:r>
                <m:rPr>
                  <m:sty m:val="p"/>
                </m:rPr>
                <w:rPr>
                  <w:rFonts w:ascii="Cambria Math" w:hAnsi="Cambria Math"/>
                </w:rPr>
                <m:t xml:space="preserve">150 766</m:t>
              </m:r>
            </m:num>
            <m:den>
              <m:r>
                <m:rPr>
                  <m:sty m:val="p"/>
                </m:rPr>
                <w:rPr>
                  <w:rFonts w:ascii="Cambria Math" w:hAnsi="Cambria Math"/>
                </w:rPr>
                <m:t xml:space="preserve">196 626</m:t>
              </m:r>
            </m:den>
          </m:f>
          <m:r>
            <m:rPr>
              <m:sty m:val="p"/>
            </m:rPr>
            <w:rPr>
              <w:rFonts w:ascii="Cambria Math" w:hAnsi="Cambria Math"/>
            </w:rPr>
            <m:t xml:space="preserve"> = 76,68 %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59,85 %</w:t>
            </w:r>
          </w:p>
        </w:tc>
        <w:tc>
          <w:tcPr>
            <w:tcW w:w="2506" w:type="dxa"/>
          </w:tcPr>
          <w:p>
            <w:pPr>
              <w:spacing w:after="0"/>
              <w:jc w:val="right"/>
            </w:pPr>
            <w:r>
              <w:rPr>
                <w:sz w:val="18"/>
                <w:szCs w:val="18"/>
              </w:rPr>
              <w:t xml:space="preserve">69,53 %</w:t>
            </w:r>
          </w:p>
        </w:tc>
        <w:tc>
          <w:tcPr>
            <w:tcW w:w="2506" w:type="dxa"/>
          </w:tcPr>
          <w:p>
            <w:pPr>
              <w:spacing w:after="0"/>
              <w:jc w:val="right"/>
            </w:pPr>
            <w:r>
              <w:rPr>
                <w:sz w:val="18"/>
                <w:szCs w:val="18"/>
              </w:rPr>
              <w:t xml:space="preserve">76,68 %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r>
    </w:tbl>
    <w:p>
      <w:pPr>
        <w:spacing w:after="60"/>
      </w:pPr>
    </w:p>
    <w:p>
      <w:pPr>
        <w:keepNext/>
        <w:spacing w:after="0"/>
      </w:pPr>
      <w:r>
        <w:drawing>
          <wp:inline distT="0" distB="0" distL="0" distR="0">
            <wp:extent cx="5400000" cy="2227500"/>
            <wp:docPr id="3"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3.png"/>
                    <pic:cNvPicPr/>
                  </pic:nvPicPr>
                  <pic:blipFill>
                    <a:blip r:embed="rIdImg3"/>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3 – Ratio de transformation par exercice</w:t>
      </w:r>
    </w:p>
    <w:p>
      <w:r>
        <w:t xml:space="preserve">Passe de </w:t>
      </w:r>
      <w:r>
        <w:rPr>
          <w:b/>
        </w:rPr>
        <w:t xml:space="preserve">59,85 %</w:t>
      </w:r>
      <w:r>
        <w:t xml:space="preserve"> en 2021 à </w:t>
      </w:r>
      <w:r>
        <w:rPr>
          <w:b/>
        </w:rPr>
        <w:t xml:space="preserve">76,68 %</w:t>
      </w:r>
      <w:r>
        <w:t xml:space="preserve"> en 2023 (+16,82 pt), hausse continue sur la période. La banque transforme davantage ses dépôts en crédits : l'intermédiation s'intensifie mais la liquidité se tend. Nettement sous le plafond de 100,0 %.</w:t>
      </w:r>
    </w:p>
    <w:p>
      <w:pPr>
        <w:pStyle w:val="Heading3"/>
        <w:keepNext/>
      </w:pPr>
      <w:r>
        <w:t xml:space="preserve">Couverture des emplois MLT par les ressources stables</w:t>
      </w:r>
    </w:p>
    <w:p>
      <w:pPr>
        <w:spacing w:after="60"/>
      </w:pPr>
      <w:r>
        <w:rPr>
          <w:i/>
          <w:color w:val="6B7770"/>
          <w:sz w:val="17"/>
          <w:szCs w:val="17"/>
        </w:rPr>
        <w:t xml:space="preserve">Norme UMOA · seuil ≥ 50,0 % (norme)</w:t>
      </w:r>
    </w:p>
    <w:p>
      <w:pPr>
        <w:pStyle w:val="Note"/>
      </w:pPr>
      <w:r>
        <w:rPr>
          <w:i/>
          <w:color w:val="6B7770"/>
          <w:sz w:val="18"/>
          <w:szCs w:val="18"/>
        </w:rPr>
        <w:t xml:space="preserve">Non calculé : les données réglementaires nécessaires (Ressources stables, Emplois à moyen et long terme) ne sont pas saisies.</w:t>
      </w:r>
    </w:p>
    <w:p>
      <w:pPr>
        <w:pStyle w:val="Heading2"/>
        <w:keepNext/>
      </w:pPr>
      <w:r>
        <w:t xml:space="preserve">Liquidité</w:t>
      </w:r>
    </w:p>
    <w:p>
      <w:pPr>
        <w:pStyle w:val="Heading3"/>
        <w:keepNext/>
      </w:pPr>
      <w:r>
        <w:t xml:space="preserve">Ratio de liquidité (bilan)</w:t>
      </w:r>
    </w:p>
    <w:p>
      <w:pPr>
        <w:spacing w:after="60"/>
      </w:pPr>
      <w:r>
        <w:rPr>
          <w:i/>
          <w:color w:val="6B7770"/>
          <w:sz w:val="17"/>
          <w:szCs w:val="17"/>
        </w:rPr>
        <w:t xml:space="preserve">Version bilan · seuil ≥ 30,0 % (repère)</w:t>
      </w:r>
    </w:p>
    <w:p>
      <w:r>
        <w:rPr>
          <w:sz w:val="19"/>
          <w:szCs w:val="19"/>
        </w:rPr>
        <w:t xml:space="preserve">Actifs mobilisables rapidement (caisse, BCEAO, titres publics refinançables, créances interbancaires) rapportés aux ressources exigibles (dettes interbancaires et dépôts). Approximation du coefficient de liquidité, faute d'échéancier.</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liquidité (bilan) = </m:t>
          </m:r>
          <m:f>
            <m:num>
              <m:r>
                <m:rPr>
                  <m:sty m:val="p"/>
                </m:rPr>
                <w:rPr>
                  <w:rFonts w:ascii="Cambria Math" w:hAnsi="Cambria Math"/>
                </w:rPr>
                <m:t xml:space="preserve">Actifs liquides</m:t>
              </m:r>
            </m:num>
            <m:den>
              <m:r>
                <m:rPr>
                  <m:sty m:val="p"/>
                </m:rPr>
                <w:rPr>
                  <w:rFonts w:ascii="Cambria Math" w:hAnsi="Cambria Math"/>
                </w:rPr>
                <m:t xml:space="preserve">Ressources exigibles</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liquidité (bilan) = </m:t>
          </m:r>
          <m:f>
            <m:num>
              <m:r>
                <m:rPr>
                  <m:sty m:val="p"/>
                </m:rPr>
                <w:rPr>
                  <w:rFonts w:ascii="Cambria Math" w:hAnsi="Cambria Math"/>
                </w:rPr>
                <m:t xml:space="preserve">134 414</m:t>
              </m:r>
            </m:num>
            <m:den>
              <m:r>
                <m:rPr>
                  <m:sty m:val="p"/>
                </m:rPr>
                <w:rPr>
                  <w:rFonts w:ascii="Cambria Math" w:hAnsi="Cambria Math"/>
                </w:rPr>
                <m:t xml:space="preserve">274 244</m:t>
              </m:r>
            </m:den>
          </m:f>
          <m:r>
            <m:rPr>
              <m:sty m:val="p"/>
            </m:rPr>
            <w:rPr>
              <w:rFonts w:ascii="Cambria Math" w:hAnsi="Cambria Math"/>
            </w:rPr>
            <m:t xml:space="preserve"> = 49,01 %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liquidité (bilan) = </m:t>
          </m:r>
          <m:f>
            <m:num>
              <m:r>
                <m:rPr>
                  <m:sty m:val="p"/>
                </m:rPr>
                <w:rPr>
                  <w:rFonts w:ascii="Cambria Math" w:hAnsi="Cambria Math"/>
                </w:rPr>
                <m:t xml:space="preserve">112 935</m:t>
              </m:r>
            </m:num>
            <m:den>
              <m:r>
                <m:rPr>
                  <m:sty m:val="p"/>
                </m:rPr>
                <w:rPr>
                  <w:rFonts w:ascii="Cambria Math" w:hAnsi="Cambria Math"/>
                </w:rPr>
                <m:t xml:space="preserve">238 579</m:t>
              </m:r>
            </m:den>
          </m:f>
          <m:r>
            <m:rPr>
              <m:sty m:val="p"/>
            </m:rPr>
            <w:rPr>
              <w:rFonts w:ascii="Cambria Math" w:hAnsi="Cambria Math"/>
            </w:rPr>
            <m:t xml:space="preserve"> = 47,34 %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liquidité (bilan) = </m:t>
          </m:r>
          <m:f>
            <m:num>
              <m:r>
                <m:rPr>
                  <m:sty m:val="p"/>
                </m:rPr>
                <w:rPr>
                  <w:rFonts w:ascii="Cambria Math" w:hAnsi="Cambria Math"/>
                </w:rPr>
                <m:t xml:space="preserve">119 514</m:t>
              </m:r>
            </m:num>
            <m:den>
              <m:r>
                <m:rPr>
                  <m:sty m:val="p"/>
                </m:rPr>
                <w:rPr>
                  <w:rFonts w:ascii="Cambria Math" w:hAnsi="Cambria Math"/>
                </w:rPr>
                <m:t xml:space="preserve">261 567</m:t>
              </m:r>
            </m:den>
          </m:f>
          <m:r>
            <m:rPr>
              <m:sty m:val="p"/>
            </m:rPr>
            <w:rPr>
              <w:rFonts w:ascii="Cambria Math" w:hAnsi="Cambria Math"/>
            </w:rPr>
            <m:t xml:space="preserve"> = 45,69 %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49,01 %</w:t>
            </w:r>
          </w:p>
        </w:tc>
        <w:tc>
          <w:tcPr>
            <w:tcW w:w="2506" w:type="dxa"/>
          </w:tcPr>
          <w:p>
            <w:pPr>
              <w:spacing w:after="0"/>
              <w:jc w:val="right"/>
            </w:pPr>
            <w:r>
              <w:rPr>
                <w:sz w:val="18"/>
                <w:szCs w:val="18"/>
              </w:rPr>
              <w:t xml:space="preserve">47,34 %</w:t>
            </w:r>
          </w:p>
        </w:tc>
        <w:tc>
          <w:tcPr>
            <w:tcW w:w="2506" w:type="dxa"/>
          </w:tcPr>
          <w:p>
            <w:pPr>
              <w:spacing w:after="0"/>
              <w:jc w:val="right"/>
            </w:pPr>
            <w:r>
              <w:rPr>
                <w:sz w:val="18"/>
                <w:szCs w:val="18"/>
              </w:rPr>
              <w:t xml:space="preserve">45,69 %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r>
    </w:tbl>
    <w:p>
      <w:pPr>
        <w:spacing w:after="60"/>
      </w:pPr>
    </w:p>
    <w:p>
      <w:pPr>
        <w:keepNext/>
        <w:spacing w:after="0"/>
      </w:pPr>
      <w:r>
        <w:drawing>
          <wp:inline distT="0" distB="0" distL="0" distR="0">
            <wp:extent cx="5400000" cy="2227500"/>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4.png"/>
                    <pic:cNvPicPr/>
                  </pic:nvPicPr>
                  <pic:blipFill>
                    <a:blip r:embed="rIdImg4"/>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4 – Ratio de liquidité (bilan) par exercice</w:t>
      </w:r>
    </w:p>
    <w:p>
      <w:r>
        <w:t xml:space="preserve">Passe de </w:t>
      </w:r>
      <w:r>
        <w:rPr>
          <w:b/>
        </w:rPr>
        <w:t xml:space="preserve">49,01 %</w:t>
      </w:r>
      <w:r>
        <w:t xml:space="preserve"> en 2021 à </w:t>
      </w:r>
      <w:r>
        <w:rPr>
          <w:b/>
        </w:rPr>
        <w:t xml:space="preserve">45,69 %</w:t>
      </w:r>
      <w:r>
        <w:t xml:space="preserve"> en 2023 (−3,32 pt), baisse continue sur la période. Le coussin de liquidité se réduit : la banque est plus exposée à des retraits massifs. Confortablement au-dessus de le repère de 30,0 % (marge +15,69 pt).</w:t>
      </w:r>
    </w:p>
    <w:p>
      <w:pPr>
        <w:pStyle w:val="Heading3"/>
        <w:keepNext/>
      </w:pPr>
      <w:r>
        <w:t xml:space="preserve">Coefficient de liquidité</w:t>
      </w:r>
    </w:p>
    <w:p>
      <w:pPr>
        <w:spacing w:after="60"/>
      </w:pPr>
      <w:r>
        <w:rPr>
          <w:i/>
          <w:color w:val="6B7770"/>
          <w:sz w:val="17"/>
          <w:szCs w:val="17"/>
        </w:rPr>
        <w:t xml:space="preserve">Norme UMOA · seuil ≥ 75,0 % (norme)</w:t>
      </w:r>
    </w:p>
    <w:p>
      <w:pPr>
        <w:pStyle w:val="Note"/>
      </w:pPr>
      <w:r>
        <w:rPr>
          <w:i/>
          <w:color w:val="6B7770"/>
          <w:sz w:val="18"/>
          <w:szCs w:val="18"/>
        </w:rPr>
        <w:t xml:space="preserve">Non calculé : les données réglementaires nécessaires (Actifs disponibles et réalisables à ≤ 3 mois, Passifs exigibles à ≤ 3 mois) ne sont pas saisies.</w:t>
      </w:r>
    </w:p>
    <w:p>
      <w:pPr>
        <w:pStyle w:val="Heading3"/>
        <w:keepNext/>
      </w:pPr>
      <w:r>
        <w:t xml:space="preserve">Liquidity Coverage Ratio (LCR)</w:t>
      </w:r>
    </w:p>
    <w:p>
      <w:pPr>
        <w:spacing w:after="60"/>
      </w:pPr>
      <w:r>
        <w:rPr>
          <w:i/>
          <w:color w:val="6B7770"/>
          <w:sz w:val="17"/>
          <w:szCs w:val="17"/>
        </w:rPr>
        <w:t xml:space="preserve">Norme UMOA · seuil ≥ 100,0 % (norme)</w:t>
      </w:r>
    </w:p>
    <w:p>
      <w:pPr>
        <w:pStyle w:val="Note"/>
      </w:pPr>
      <w:r>
        <w:rPr>
          <w:i/>
          <w:color w:val="6B7770"/>
          <w:sz w:val="18"/>
          <w:szCs w:val="18"/>
        </w:rPr>
        <w:t xml:space="preserve">Non calculé : les données réglementaires nécessaires (Actifs liquides de haute qualité (HQLA), Sorties nettes de trésorerie à 30 jours) ne sont pas saisies.</w:t>
      </w:r>
    </w:p>
    <w:p>
      <w:pPr>
        <w:pStyle w:val="Heading2"/>
        <w:keepNext/>
      </w:pPr>
      <w:r>
        <w:t xml:space="preserve">Levier</w:t>
      </w:r>
    </w:p>
    <w:p>
      <w:pPr>
        <w:pStyle w:val="Heading3"/>
        <w:keepNext/>
      </w:pPr>
      <w:r>
        <w:t xml:space="preserve">Ratio de levier (bilan)</w:t>
      </w:r>
    </w:p>
    <w:p>
      <w:pPr>
        <w:spacing w:after="60"/>
      </w:pPr>
      <w:r>
        <w:rPr>
          <w:i/>
          <w:color w:val="6B7770"/>
          <w:sz w:val="17"/>
          <w:szCs w:val="17"/>
        </w:rPr>
        <w:t xml:space="preserve">Version bilan · seuil ≥ 3,0 % (repère)</w:t>
      </w:r>
    </w:p>
    <w:p>
      <w:r>
        <w:rPr>
          <w:sz w:val="19"/>
          <w:szCs w:val="19"/>
        </w:rPr>
        <w:t xml:space="preserve">Part du bilan financée par les capitaux propres. Plus il est élevé, moins la banque est endettée.</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levier (bilan) = </m:t>
          </m:r>
          <m:f>
            <m:num>
              <m:r>
                <m:rPr>
                  <m:sty m:val="p"/>
                </m:rPr>
                <w:rPr>
                  <w:rFonts w:ascii="Cambria Math" w:hAnsi="Cambria Math"/>
                </w:rPr>
                <m:t xml:space="preserve">Capitaux propres</m:t>
              </m:r>
            </m:num>
            <m:den>
              <m:r>
                <m:rPr>
                  <m:sty m:val="p"/>
                </m:rPr>
                <w:rPr>
                  <w:rFonts w:ascii="Cambria Math" w:hAnsi="Cambria Math"/>
                </w:rPr>
                <m:t xml:space="preserve">Total actif</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levier (bilan) = </m:t>
          </m:r>
          <m:f>
            <m:num>
              <m:r>
                <m:rPr>
                  <m:sty m:val="p"/>
                </m:rPr>
                <w:rPr>
                  <w:rFonts w:ascii="Cambria Math" w:hAnsi="Cambria Math"/>
                </w:rPr>
                <m:t xml:space="preserve">20 787</m:t>
              </m:r>
            </m:num>
            <m:den>
              <m:r>
                <m:rPr>
                  <m:sty m:val="p"/>
                </m:rPr>
                <w:rPr>
                  <w:rFonts w:ascii="Cambria Math" w:hAnsi="Cambria Math"/>
                </w:rPr>
                <m:t xml:space="preserve">301 931</m:t>
              </m:r>
            </m:den>
          </m:f>
          <m:r>
            <m:rPr>
              <m:sty m:val="p"/>
            </m:rPr>
            <w:rPr>
              <w:rFonts w:ascii="Cambria Math" w:hAnsi="Cambria Math"/>
            </w:rPr>
            <m:t xml:space="preserve"> = 6,88 %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levier (bilan) = </m:t>
          </m:r>
          <m:f>
            <m:num>
              <m:r>
                <m:rPr>
                  <m:sty m:val="p"/>
                </m:rPr>
                <w:rPr>
                  <w:rFonts w:ascii="Cambria Math" w:hAnsi="Cambria Math"/>
                </w:rPr>
                <m:t xml:space="preserve">24 381</m:t>
              </m:r>
            </m:num>
            <m:den>
              <m:r>
                <m:rPr>
                  <m:sty m:val="p"/>
                </m:rPr>
                <w:rPr>
                  <w:rFonts w:ascii="Cambria Math" w:hAnsi="Cambria Math"/>
                </w:rPr>
                <m:t xml:space="preserve">269 088</m:t>
              </m:r>
            </m:den>
          </m:f>
          <m:r>
            <m:rPr>
              <m:sty m:val="p"/>
            </m:rPr>
            <w:rPr>
              <w:rFonts w:ascii="Cambria Math" w:hAnsi="Cambria Math"/>
            </w:rPr>
            <m:t xml:space="preserve"> = 9,06 %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levier (bilan) = </m:t>
          </m:r>
          <m:f>
            <m:num>
              <m:r>
                <m:rPr>
                  <m:sty m:val="p"/>
                </m:rPr>
                <w:rPr>
                  <w:rFonts w:ascii="Cambria Math" w:hAnsi="Cambria Math"/>
                </w:rPr>
                <m:t xml:space="preserve">27 289</m:t>
              </m:r>
            </m:num>
            <m:den>
              <m:r>
                <m:rPr>
                  <m:sty m:val="p"/>
                </m:rPr>
                <w:rPr>
                  <w:rFonts w:ascii="Cambria Math" w:hAnsi="Cambria Math"/>
                </w:rPr>
                <m:t xml:space="preserve">295 660</m:t>
              </m:r>
            </m:den>
          </m:f>
          <m:r>
            <m:rPr>
              <m:sty m:val="p"/>
            </m:rPr>
            <w:rPr>
              <w:rFonts w:ascii="Cambria Math" w:hAnsi="Cambria Math"/>
            </w:rPr>
            <m:t xml:space="preserve"> = 9,23 %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6,88 %</w:t>
            </w:r>
          </w:p>
        </w:tc>
        <w:tc>
          <w:tcPr>
            <w:tcW w:w="2506" w:type="dxa"/>
          </w:tcPr>
          <w:p>
            <w:pPr>
              <w:spacing w:after="0"/>
              <w:jc w:val="right"/>
            </w:pPr>
            <w:r>
              <w:rPr>
                <w:sz w:val="18"/>
                <w:szCs w:val="18"/>
              </w:rPr>
              <w:t xml:space="preserve">9,06 %</w:t>
            </w:r>
          </w:p>
        </w:tc>
        <w:tc>
          <w:tcPr>
            <w:tcW w:w="2506" w:type="dxa"/>
          </w:tcPr>
          <w:p>
            <w:pPr>
              <w:spacing w:after="0"/>
              <w:jc w:val="right"/>
            </w:pPr>
            <w:r>
              <w:rPr>
                <w:sz w:val="18"/>
                <w:szCs w:val="18"/>
              </w:rPr>
              <w:t xml:space="preserve">9,23 %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r>
    </w:tbl>
    <w:p>
      <w:pPr>
        <w:spacing w:after="60"/>
      </w:pPr>
    </w:p>
    <w:p>
      <w:pPr>
        <w:keepNext/>
        <w:spacing w:after="0"/>
      </w:pPr>
      <w:r>
        <w:drawing>
          <wp:inline distT="0" distB="0" distL="0" distR="0">
            <wp:extent cx="5400000" cy="222750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5.png"/>
                    <pic:cNvPicPr/>
                  </pic:nvPicPr>
                  <pic:blipFill>
                    <a:blip r:embed="rIdImg5"/>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5 – Ratio de levier (bilan) par exercice</w:t>
      </w:r>
    </w:p>
    <w:p>
      <w:r>
        <w:t xml:space="preserve">Passe de </w:t>
      </w:r>
      <w:r>
        <w:rPr>
          <w:b/>
        </w:rPr>
        <w:t xml:space="preserve">6,88 %</w:t>
      </w:r>
      <w:r>
        <w:t xml:space="preserve"> en 2021 à </w:t>
      </w:r>
      <w:r>
        <w:rPr>
          <w:b/>
        </w:rPr>
        <w:t xml:space="preserve">9,23 %</w:t>
      </w:r>
      <w:r>
        <w:t xml:space="preserve"> en 2023 (+2,35 pt), hausse continue sur la période. Les fonds propres progressent plus vite que le bilan : la banque se désendette. Confortablement au-dessus de le repère de 3,0 % (marge +6,23 pt).</w:t>
      </w:r>
    </w:p>
    <w:p>
      <w:pPr>
        <w:pStyle w:val="Heading3"/>
        <w:keepNext/>
      </w:pPr>
      <w:r>
        <w:t xml:space="preserve">Ratio de levier Bâle III</w:t>
      </w:r>
    </w:p>
    <w:p>
      <w:pPr>
        <w:spacing w:after="60"/>
      </w:pPr>
      <w:r>
        <w:rPr>
          <w:i/>
          <w:color w:val="6B7770"/>
          <w:sz w:val="17"/>
          <w:szCs w:val="17"/>
        </w:rPr>
        <w:t xml:space="preserve">Bâle III · seuil ≥ 3,0 % (norme)</w:t>
      </w:r>
    </w:p>
    <w:p>
      <w:r>
        <w:rPr>
          <w:sz w:val="19"/>
          <w:szCs w:val="19"/>
        </w:rPr>
        <w:t xml:space="preserve">Tier 1 rapporté à l’exposition totale non pondérée (bilan + hors bilan converti). Garde-fou contre un endettement excessif, indépendant des pondérations.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Tier 1</m:t>
              </m:r>
            </m:num>
            <m:den>
              <m:r>
                <m:rPr>
                  <m:sty m:val="p"/>
                </m:rPr>
                <w:rPr>
                  <w:rFonts w:ascii="Cambria Math" w:hAnsi="Cambria Math"/>
                </w:rPr>
                <m:t xml:space="preserve">Exposition de levier</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20 785</m:t>
              </m:r>
            </m:num>
            <m:den>
              <m:r>
                <m:rPr>
                  <m:sty m:val="p"/>
                </m:rPr>
                <w:rPr>
                  <w:rFonts w:ascii="Cambria Math" w:hAnsi="Cambria Math"/>
                </w:rPr>
                <m:t xml:space="preserve">327 252</m:t>
              </m:r>
            </m:den>
          </m:f>
          <m:r>
            <m:rPr>
              <m:sty m:val="p"/>
            </m:rPr>
            <w:rPr>
              <w:rFonts w:ascii="Cambria Math" w:hAnsi="Cambria Math"/>
            </w:rPr>
            <m:t xml:space="preserve"> = 6,35 %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24 322</m:t>
              </m:r>
            </m:num>
            <m:den>
              <m:r>
                <m:rPr>
                  <m:sty m:val="p"/>
                </m:rPr>
                <w:rPr>
                  <w:rFonts w:ascii="Cambria Math" w:hAnsi="Cambria Math"/>
                </w:rPr>
                <m:t xml:space="preserve">301 493</m:t>
              </m:r>
            </m:den>
          </m:f>
          <m:r>
            <m:rPr>
              <m:sty m:val="p"/>
            </m:rPr>
            <w:rPr>
              <w:rFonts w:ascii="Cambria Math" w:hAnsi="Cambria Math"/>
            </w:rPr>
            <m:t xml:space="preserve"> = 8,07 %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27 228</m:t>
              </m:r>
            </m:num>
            <m:den>
              <m:r>
                <m:rPr>
                  <m:sty m:val="p"/>
                </m:rPr>
                <w:rPr>
                  <w:rFonts w:ascii="Cambria Math" w:hAnsi="Cambria Math"/>
                </w:rPr>
                <m:t xml:space="preserve">313 423</m:t>
              </m:r>
            </m:den>
          </m:f>
          <m:r>
            <m:rPr>
              <m:sty m:val="p"/>
            </m:rPr>
            <w:rPr>
              <w:rFonts w:ascii="Cambria Math" w:hAnsi="Cambria Math"/>
            </w:rPr>
            <m:t xml:space="preserve"> = 8,69 %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6,35 %</w:t>
            </w:r>
          </w:p>
        </w:tc>
        <w:tc>
          <w:tcPr>
            <w:tcW w:w="2506" w:type="dxa"/>
          </w:tcPr>
          <w:p>
            <w:pPr>
              <w:spacing w:after="0"/>
              <w:jc w:val="right"/>
            </w:pPr>
            <w:r>
              <w:rPr>
                <w:sz w:val="18"/>
                <w:szCs w:val="18"/>
              </w:rPr>
              <w:t xml:space="preserve">8,07 %</w:t>
            </w:r>
          </w:p>
        </w:tc>
        <w:tc>
          <w:tcPr>
            <w:tcW w:w="2506" w:type="dxa"/>
          </w:tcPr>
          <w:p>
            <w:pPr>
              <w:spacing w:after="0"/>
              <w:jc w:val="right"/>
            </w:pPr>
            <w:r>
              <w:rPr>
                <w:sz w:val="18"/>
                <w:szCs w:val="18"/>
              </w:rPr>
              <w:t xml:space="preserve">8,69 %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r>
    </w:tbl>
    <w:p>
      <w:pPr>
        <w:spacing w:after="60"/>
      </w:pPr>
    </w:p>
    <w:p>
      <w:pPr>
        <w:keepNext/>
        <w:spacing w:after="0"/>
      </w:pPr>
      <w:r>
        <w:drawing>
          <wp:inline distT="0" distB="0" distL="0" distR="0">
            <wp:extent cx="5400000" cy="222750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6.png"/>
                    <pic:cNvPicPr/>
                  </pic:nvPicPr>
                  <pic:blipFill>
                    <a:blip r:embed="rIdImg6"/>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6 – Ratio de levier Bâle III par exercice</w:t>
      </w:r>
    </w:p>
    <w:p>
      <w:r>
        <w:t xml:space="preserve">Passe de </w:t>
      </w:r>
      <w:r>
        <w:rPr>
          <w:b/>
        </w:rPr>
        <w:t xml:space="preserve">6,35 %</w:t>
      </w:r>
      <w:r>
        <w:t xml:space="preserve"> en 2021 à </w:t>
      </w:r>
      <w:r>
        <w:rPr>
          <w:b/>
        </w:rPr>
        <w:t xml:space="preserve">8,69 %</w:t>
      </w:r>
      <w:r>
        <w:t xml:space="preserve"> en 2023 (+2,34 pt), hausse continue sur la période. Le levier réglementaire s’améliore. Confortablement au-dessus de le minimum réglementaire de 3,0 % (marge +5,69 pt).</w:t>
      </w:r>
    </w:p>
    <w:p>
      <w:pPr>
        <w:pStyle w:val="Heading3"/>
        <w:keepNext/>
      </w:pPr>
      <w:r>
        <w:t xml:space="preserve">Multiplicateur de fonds propres</w:t>
      </w:r>
    </w:p>
    <w:p>
      <w:pPr>
        <w:spacing w:after="60"/>
      </w:pPr>
      <w:r>
        <w:rPr>
          <w:i/>
          <w:color w:val="6B7770"/>
          <w:sz w:val="17"/>
          <w:szCs w:val="17"/>
        </w:rPr>
        <w:t xml:space="preserve">Indicateur d'analyse</w:t>
      </w:r>
    </w:p>
    <w:p>
      <w:r>
        <w:rPr>
          <w:sz w:val="19"/>
          <w:szCs w:val="19"/>
        </w:rPr>
        <w:t xml:space="preserve">Nombre de francs d’actifs portés par chaque franc de fonds propres. C’est l’inverse du ratio de levier bilan et le lien entre ROA et ROE.</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Multiplicateur de fonds propres = </m:t>
          </m:r>
          <m:f>
            <m:num>
              <m:r>
                <m:rPr>
                  <m:sty m:val="p"/>
                </m:rPr>
                <w:rPr>
                  <w:rFonts w:ascii="Cambria Math" w:hAnsi="Cambria Math"/>
                </w:rPr>
                <m:t xml:space="preserve">Total actif</m:t>
              </m:r>
            </m:num>
            <m:den>
              <m:r>
                <m:rPr>
                  <m:sty m:val="p"/>
                </m:rPr>
                <w:rPr>
                  <w:rFonts w:ascii="Cambria Math" w:hAnsi="Cambria Math"/>
                </w:rPr>
                <m:t xml:space="preserve">Capitaux propres</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Multiplicateur de fonds propres = </m:t>
          </m:r>
          <m:f>
            <m:num>
              <m:r>
                <m:rPr>
                  <m:sty m:val="p"/>
                </m:rPr>
                <w:rPr>
                  <w:rFonts w:ascii="Cambria Math" w:hAnsi="Cambria Math"/>
                </w:rPr>
                <m:t xml:space="preserve">301 931</m:t>
              </m:r>
            </m:num>
            <m:den>
              <m:r>
                <m:rPr>
                  <m:sty m:val="p"/>
                </m:rPr>
                <w:rPr>
                  <w:rFonts w:ascii="Cambria Math" w:hAnsi="Cambria Math"/>
                </w:rPr>
                <m:t xml:space="preserve">20 787</m:t>
              </m:r>
            </m:den>
          </m:f>
          <m:r>
            <m:rPr>
              <m:sty m:val="p"/>
            </m:rPr>
            <w:rPr>
              <w:rFonts w:ascii="Cambria Math" w:hAnsi="Cambria Math"/>
            </w:rPr>
            <m:t xml:space="preserve"> = 14,52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Multiplicateur de fonds propres = </m:t>
          </m:r>
          <m:f>
            <m:num>
              <m:r>
                <m:rPr>
                  <m:sty m:val="p"/>
                </m:rPr>
                <w:rPr>
                  <w:rFonts w:ascii="Cambria Math" w:hAnsi="Cambria Math"/>
                </w:rPr>
                <m:t xml:space="preserve">269 088</m:t>
              </m:r>
            </m:num>
            <m:den>
              <m:r>
                <m:rPr>
                  <m:sty m:val="p"/>
                </m:rPr>
                <w:rPr>
                  <w:rFonts w:ascii="Cambria Math" w:hAnsi="Cambria Math"/>
                </w:rPr>
                <m:t xml:space="preserve">24 381</m:t>
              </m:r>
            </m:den>
          </m:f>
          <m:r>
            <m:rPr>
              <m:sty m:val="p"/>
            </m:rPr>
            <w:rPr>
              <w:rFonts w:ascii="Cambria Math" w:hAnsi="Cambria Math"/>
            </w:rPr>
            <m:t xml:space="preserve"> = 11,04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Multiplicateur de fonds propres = </m:t>
          </m:r>
          <m:f>
            <m:num>
              <m:r>
                <m:rPr>
                  <m:sty m:val="p"/>
                </m:rPr>
                <w:rPr>
                  <w:rFonts w:ascii="Cambria Math" w:hAnsi="Cambria Math"/>
                </w:rPr>
                <m:t xml:space="preserve">295 660</m:t>
              </m:r>
            </m:num>
            <m:den>
              <m:r>
                <m:rPr>
                  <m:sty m:val="p"/>
                </m:rPr>
                <w:rPr>
                  <w:rFonts w:ascii="Cambria Math" w:hAnsi="Cambria Math"/>
                </w:rPr>
                <m:t xml:space="preserve">27 289</m:t>
              </m:r>
            </m:den>
          </m:f>
          <m:r>
            <m:rPr>
              <m:sty m:val="p"/>
            </m:rPr>
            <w:rPr>
              <w:rFonts w:ascii="Cambria Math" w:hAnsi="Cambria Math"/>
            </w:rPr>
            <m:t xml:space="preserve"> = 10,83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14,52 ×</w:t>
            </w:r>
          </w:p>
        </w:tc>
        <w:tc>
          <w:tcPr>
            <w:tcW w:w="2506" w:type="dxa"/>
          </w:tcPr>
          <w:p>
            <w:pPr>
              <w:spacing w:after="0"/>
              <w:jc w:val="right"/>
            </w:pPr>
            <w:r>
              <w:rPr>
                <w:sz w:val="18"/>
                <w:szCs w:val="18"/>
              </w:rPr>
              <w:t xml:space="preserve">11,04 ×</w:t>
            </w:r>
          </w:p>
        </w:tc>
        <w:tc>
          <w:tcPr>
            <w:tcW w:w="2506" w:type="dxa"/>
          </w:tcPr>
          <w:p>
            <w:pPr>
              <w:spacing w:after="0"/>
              <w:jc w:val="right"/>
            </w:pPr>
            <w:r>
              <w:rPr>
                <w:sz w:val="18"/>
                <w:szCs w:val="18"/>
              </w:rPr>
              <w:t xml:space="preserve">10,83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7"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que7.png"/>
                    <pic:cNvPicPr/>
                  </pic:nvPicPr>
                  <pic:blipFill>
                    <a:blip r:embed="rIdImg7"/>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7 – Multiplicateur de fonds propres par exercice</w:t>
      </w:r>
    </w:p>
    <w:p>
      <w:r>
        <w:t xml:space="preserve">Passe de </w:t>
      </w:r>
      <w:r>
        <w:rPr>
          <w:b/>
        </w:rPr>
        <w:t xml:space="preserve">14,52 ×</w:t>
      </w:r>
      <w:r>
        <w:t xml:space="preserve"> en 2021 à </w:t>
      </w:r>
      <w:r>
        <w:rPr>
          <w:b/>
        </w:rPr>
        <w:t xml:space="preserve">10,83 ×</w:t>
      </w:r>
      <w:r>
        <w:t xml:space="preserve"> en 2023 (−3,69), baisse continue sur la période. La banque se désendette : moins d’effet multiplicateur sur le ROE, mais plus de sécurité.</w:t>
      </w:r>
    </w:p>
    <w:p>
      <w:pPr>
        <w:pStyle w:val="Heading2"/>
        <w:keepNext/>
      </w:pPr>
      <w:r>
        <w:t xml:space="preserve">Solvabilité</w:t>
      </w:r>
    </w:p>
    <w:p>
      <w:pPr>
        <w:pStyle w:val="Heading3"/>
        <w:keepNext/>
      </w:pPr>
      <w:r>
        <w:t xml:space="preserve">Solvabilité (bilan)</w:t>
      </w:r>
    </w:p>
    <w:p>
      <w:pPr>
        <w:spacing w:after="60"/>
      </w:pPr>
      <w:r>
        <w:rPr>
          <w:i/>
          <w:color w:val="6B7770"/>
          <w:sz w:val="17"/>
          <w:szCs w:val="17"/>
        </w:rPr>
        <w:t xml:space="preserve">Version bilan · seuil ≥ 8,0 % (repère)</w:t>
      </w:r>
    </w:p>
    <w:p>
      <w:r>
        <w:rPr>
          <w:sz w:val="19"/>
          <w:szCs w:val="19"/>
        </w:rPr>
        <w:t xml:space="preserve">Fonds propres élargis (capitaux propres + dettes subordonnées) rapportés au total du bilan, sans pondération par les risques. Version minorante du ratio de solvabilité.</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Solvabilité (bilan) = </m:t>
          </m:r>
          <m:f>
            <m:num>
              <m:r>
                <m:rPr>
                  <m:sty m:val="p"/>
                </m:rPr>
                <w:rPr>
                  <w:rFonts w:ascii="Cambria Math" w:hAnsi="Cambria Math"/>
                </w:rPr>
                <m:t xml:space="preserve">Fonds propres élargis</m:t>
              </m:r>
            </m:num>
            <m:den>
              <m:r>
                <m:rPr>
                  <m:sty m:val="p"/>
                </m:rPr>
                <w:rPr>
                  <w:rFonts w:ascii="Cambria Math" w:hAnsi="Cambria Math"/>
                </w:rPr>
                <m:t xml:space="preserve">Total actif</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Solvabilité (bilan) = </m:t>
          </m:r>
          <m:f>
            <m:num>
              <m:r>
                <m:rPr>
                  <m:sty m:val="p"/>
                </m:rPr>
                <w:rPr>
                  <w:rFonts w:ascii="Cambria Math" w:hAnsi="Cambria Math"/>
                </w:rPr>
                <m:t xml:space="preserve">22 370</m:t>
              </m:r>
            </m:num>
            <m:den>
              <m:r>
                <m:rPr>
                  <m:sty m:val="p"/>
                </m:rPr>
                <w:rPr>
                  <w:rFonts w:ascii="Cambria Math" w:hAnsi="Cambria Math"/>
                </w:rPr>
                <m:t xml:space="preserve">301 931</m:t>
              </m:r>
            </m:den>
          </m:f>
          <m:r>
            <m:rPr>
              <m:sty m:val="p"/>
            </m:rPr>
            <w:rPr>
              <w:rFonts w:ascii="Cambria Math" w:hAnsi="Cambria Math"/>
            </w:rPr>
            <m:t xml:space="preserve"> = 7,41 %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Solvabilité (bilan) = </m:t>
          </m:r>
          <m:f>
            <m:num>
              <m:r>
                <m:rPr>
                  <m:sty m:val="p"/>
                </m:rPr>
                <w:rPr>
                  <w:rFonts w:ascii="Cambria Math" w:hAnsi="Cambria Math"/>
                </w:rPr>
                <m:t xml:space="preserve">25 964</m:t>
              </m:r>
            </m:num>
            <m:den>
              <m:r>
                <m:rPr>
                  <m:sty m:val="p"/>
                </m:rPr>
                <w:rPr>
                  <w:rFonts w:ascii="Cambria Math" w:hAnsi="Cambria Math"/>
                </w:rPr>
                <m:t xml:space="preserve">269 088</m:t>
              </m:r>
            </m:den>
          </m:f>
          <m:r>
            <m:rPr>
              <m:sty m:val="p"/>
            </m:rPr>
            <w:rPr>
              <w:rFonts w:ascii="Cambria Math" w:hAnsi="Cambria Math"/>
            </w:rPr>
            <m:t xml:space="preserve"> = 9,65 %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Solvabilité (bilan) = </m:t>
          </m:r>
          <m:f>
            <m:num>
              <m:r>
                <m:rPr>
                  <m:sty m:val="p"/>
                </m:rPr>
                <w:rPr>
                  <w:rFonts w:ascii="Cambria Math" w:hAnsi="Cambria Math"/>
                </w:rPr>
                <m:t xml:space="preserve">28 873</m:t>
              </m:r>
            </m:num>
            <m:den>
              <m:r>
                <m:rPr>
                  <m:sty m:val="p"/>
                </m:rPr>
                <w:rPr>
                  <w:rFonts w:ascii="Cambria Math" w:hAnsi="Cambria Math"/>
                </w:rPr>
                <m:t xml:space="preserve">295 660</m:t>
              </m:r>
            </m:den>
          </m:f>
          <m:r>
            <m:rPr>
              <m:sty m:val="p"/>
            </m:rPr>
            <w:rPr>
              <w:rFonts w:ascii="Cambria Math" w:hAnsi="Cambria Math"/>
            </w:rPr>
            <m:t xml:space="preserve"> = 9,77 %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7,41 %</w:t>
            </w:r>
          </w:p>
        </w:tc>
        <w:tc>
          <w:tcPr>
            <w:tcW w:w="2506" w:type="dxa"/>
          </w:tcPr>
          <w:p>
            <w:pPr>
              <w:spacing w:after="0"/>
              <w:jc w:val="right"/>
            </w:pPr>
            <w:r>
              <w:rPr>
                <w:sz w:val="18"/>
                <w:szCs w:val="18"/>
              </w:rPr>
              <w:t xml:space="preserve">9,65 %</w:t>
            </w:r>
          </w:p>
        </w:tc>
        <w:tc>
          <w:tcPr>
            <w:tcW w:w="2506" w:type="dxa"/>
          </w:tcPr>
          <w:p>
            <w:pPr>
              <w:spacing w:after="0"/>
              <w:jc w:val="right"/>
            </w:pPr>
            <w:r>
              <w:rPr>
                <w:sz w:val="18"/>
                <w:szCs w:val="18"/>
              </w:rPr>
              <w:t xml:space="preserve">9,77 %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B3302A"/>
                <w:sz w:val="18"/>
                <w:szCs w:val="18"/>
              </w:rPr>
              <w:t xml:space="preserve">✕ Hors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r>
    </w:tbl>
    <w:p>
      <w:pPr>
        <w:spacing w:after="60"/>
      </w:pPr>
    </w:p>
    <w:p>
      <w:pPr>
        <w:keepNext/>
        <w:spacing w:after="0"/>
      </w:pPr>
      <w:r>
        <w:drawing>
          <wp:inline distT="0" distB="0" distL="0" distR="0">
            <wp:extent cx="5400000" cy="222750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8.png"/>
                    <pic:cNvPicPr/>
                  </pic:nvPicPr>
                  <pic:blipFill>
                    <a:blip r:embed="rIdImg8"/>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8 – Solvabilité (bilan) par exercice</w:t>
      </w:r>
    </w:p>
    <w:p>
      <w:r>
        <w:t xml:space="preserve">Passe de </w:t>
      </w:r>
      <w:r>
        <w:rPr>
          <w:b/>
        </w:rPr>
        <w:t xml:space="preserve">7,41 %</w:t>
      </w:r>
      <w:r>
        <w:t xml:space="preserve"> en 2021 à </w:t>
      </w:r>
      <w:r>
        <w:rPr>
          <w:b/>
        </w:rPr>
        <w:t xml:space="preserve">9,77 %</w:t>
      </w:r>
      <w:r>
        <w:t xml:space="preserve"> en 2023 (+2,36 pt), hausse continue sur la période. La capacité à absorber des pertes se renforce. Confortablement au-dessus de le repère de 8,0 % (marge +1,77 pt).</w:t>
      </w:r>
    </w:p>
    <w:p>
      <w:pPr>
        <w:pStyle w:val="Heading3"/>
        <w:keepNext/>
      </w:pPr>
      <w:r>
        <w:t xml:space="preserve">Ratio de solvabilité global</w:t>
      </w:r>
    </w:p>
    <w:p>
      <w:pPr>
        <w:spacing w:after="60"/>
      </w:pPr>
      <w:r>
        <w:rPr>
          <w:i/>
          <w:color w:val="6B7770"/>
          <w:sz w:val="17"/>
          <w:szCs w:val="17"/>
        </w:rPr>
        <w:t xml:space="preserve">Bâle III · seuil ≥ 11,5 % (norme)</w:t>
      </w:r>
    </w:p>
    <w:p>
      <w:r>
        <w:rPr>
          <w:sz w:val="19"/>
          <w:szCs w:val="19"/>
        </w:rPr>
        <w:t xml:space="preserve">Fonds propres effectifs (Tier 1 + Tier 2) rapportés aux actifs pondérés par les risques de crédit et opérationnel.</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Fonds propres effectifs</m:t>
              </m:r>
            </m:num>
            <m:den>
              <m:r>
                <m:rPr>
                  <m:sty m:val="p"/>
                </m:rPr>
                <w:rPr>
                  <w:rFonts w:ascii="Cambria Math" w:hAnsi="Cambria Math"/>
                </w:rPr>
                <m:t xml:space="preserve">RWA</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22 368</m:t>
              </m:r>
            </m:num>
            <m:den>
              <m:r>
                <m:rPr>
                  <m:sty m:val="p"/>
                </m:rPr>
                <w:rPr>
                  <w:rFonts w:ascii="Cambria Math" w:hAnsi="Cambria Math"/>
                </w:rPr>
                <m:t xml:space="preserve">232 664</m:t>
              </m:r>
            </m:den>
          </m:f>
          <m:r>
            <m:rPr>
              <m:sty m:val="p"/>
            </m:rPr>
            <w:rPr>
              <w:rFonts w:ascii="Cambria Math" w:hAnsi="Cambria Math"/>
            </w:rPr>
            <m:t xml:space="preserve"> = 9,61 %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25 905</m:t>
              </m:r>
            </m:num>
            <m:den>
              <m:r>
                <m:rPr>
                  <m:sty m:val="p"/>
                </m:rPr>
                <w:rPr>
                  <w:rFonts w:ascii="Cambria Math" w:hAnsi="Cambria Math"/>
                </w:rPr>
                <m:t xml:space="preserve">226 068</m:t>
              </m:r>
            </m:den>
          </m:f>
          <m:r>
            <m:rPr>
              <m:sty m:val="p"/>
            </m:rPr>
            <w:rPr>
              <w:rFonts w:ascii="Cambria Math" w:hAnsi="Cambria Math"/>
            </w:rPr>
            <m:t xml:space="preserve"> = 11,46 %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28 812</m:t>
              </m:r>
            </m:num>
            <m:den>
              <m:r>
                <m:rPr>
                  <m:sty m:val="p"/>
                </m:rPr>
                <w:rPr>
                  <w:rFonts w:ascii="Cambria Math" w:hAnsi="Cambria Math"/>
                </w:rPr>
                <m:t xml:space="preserve">237 172</m:t>
              </m:r>
            </m:den>
          </m:f>
          <m:r>
            <m:rPr>
              <m:sty m:val="p"/>
            </m:rPr>
            <w:rPr>
              <w:rFonts w:ascii="Cambria Math" w:hAnsi="Cambria Math"/>
            </w:rPr>
            <m:t xml:space="preserve"> = 12,15 %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9,61 %</w:t>
            </w:r>
          </w:p>
        </w:tc>
        <w:tc>
          <w:tcPr>
            <w:tcW w:w="2506" w:type="dxa"/>
          </w:tcPr>
          <w:p>
            <w:pPr>
              <w:spacing w:after="0"/>
              <w:jc w:val="right"/>
            </w:pPr>
            <w:r>
              <w:rPr>
                <w:sz w:val="18"/>
                <w:szCs w:val="18"/>
              </w:rPr>
              <w:t xml:space="preserve">11,46 %</w:t>
            </w:r>
          </w:p>
        </w:tc>
        <w:tc>
          <w:tcPr>
            <w:tcW w:w="2506" w:type="dxa"/>
          </w:tcPr>
          <w:p>
            <w:pPr>
              <w:spacing w:after="0"/>
              <w:jc w:val="right"/>
            </w:pPr>
            <w:r>
              <w:rPr>
                <w:sz w:val="18"/>
                <w:szCs w:val="18"/>
              </w:rPr>
              <w:t xml:space="preserve">12,15 %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B3302A"/>
                <w:sz w:val="18"/>
                <w:szCs w:val="18"/>
              </w:rPr>
              <w:t xml:space="preserve">✕ Non conforme</w:t>
            </w:r>
          </w:p>
        </w:tc>
        <w:tc>
          <w:tcPr>
            <w:tcW w:w="2506" w:type="dxa"/>
          </w:tcPr>
          <w:p>
            <w:pPr>
              <w:spacing w:after="0"/>
              <w:jc w:val="right"/>
            </w:pPr>
            <w:r>
              <w:rPr>
                <w:color w:val="B3302A"/>
                <w:sz w:val="18"/>
                <w:szCs w:val="18"/>
              </w:rPr>
              <w:t xml:space="preserve">✕ Non conforme</w:t>
            </w:r>
          </w:p>
        </w:tc>
        <w:tc>
          <w:tcPr>
            <w:tcW w:w="2506" w:type="dxa"/>
          </w:tcPr>
          <w:p>
            <w:pPr>
              <w:spacing w:after="0"/>
              <w:jc w:val="right"/>
            </w:pPr>
            <w:r>
              <w:rPr>
                <w:color w:val="8F5500"/>
                <w:sz w:val="18"/>
                <w:szCs w:val="18"/>
              </w:rPr>
              <w:t xml:space="preserve">! Marge faible</w:t>
            </w:r>
          </w:p>
        </w:tc>
      </w:tr>
    </w:tbl>
    <w:p>
      <w:pPr>
        <w:spacing w:after="60"/>
      </w:pPr>
    </w:p>
    <w:p>
      <w:pPr>
        <w:keepNext/>
        <w:spacing w:after="0"/>
      </w:pPr>
      <w:r>
        <w:drawing>
          <wp:inline distT="0" distB="0" distL="0" distR="0">
            <wp:extent cx="5400000" cy="222750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9.png"/>
                    <pic:cNvPicPr/>
                  </pic:nvPicPr>
                  <pic:blipFill>
                    <a:blip r:embed="rIdImg9"/>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9 – Ratio de solvabilité global par exercice</w:t>
      </w:r>
    </w:p>
    <w:p>
      <w:r>
        <w:t xml:space="preserve">Passe de </w:t>
      </w:r>
      <w:r>
        <w:rPr>
          <w:b/>
        </w:rPr>
        <w:t xml:space="preserve">9,61 %</w:t>
      </w:r>
      <w:r>
        <w:t xml:space="preserve"> en 2021 à </w:t>
      </w:r>
      <w:r>
        <w:rPr>
          <w:b/>
        </w:rPr>
        <w:t xml:space="preserve">12,15 %</w:t>
      </w:r>
      <w:r>
        <w:t xml:space="preserve"> en 2023 (+2,53 pt), hausse continue sur la période. La solvabilité réglementaire s’améliore. Au-dessus de le minimum réglementaire de 11,5 % mais avec une marge faible (+0,65 pt).</w:t>
      </w:r>
    </w:p>
    <w:p>
      <w:pPr>
        <w:pStyle w:val="Heading3"/>
        <w:keepNext/>
      </w:pPr>
      <w:r>
        <w:t xml:space="preserve">Ratio CET1</w:t>
      </w:r>
    </w:p>
    <w:p>
      <w:pPr>
        <w:spacing w:after="60"/>
      </w:pPr>
      <w:r>
        <w:rPr>
          <w:i/>
          <w:color w:val="6B7770"/>
          <w:sz w:val="17"/>
          <w:szCs w:val="17"/>
        </w:rPr>
        <w:t xml:space="preserve">Bâle III · seuil ≥ 7,5 % (norme)</w:t>
      </w:r>
    </w:p>
    <w:p>
      <w:r>
        <w:rPr>
          <w:sz w:val="19"/>
          <w:szCs w:val="19"/>
        </w:rPr>
        <w:t xml:space="preserve">Fonds propres de base durs rapportés aux actifs pondérés par les risques. C’est le noyau dur de la solvabilité selon Bâle III.</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CET1</m:t>
              </m:r>
            </m:num>
            <m:den>
              <m:r>
                <m:rPr>
                  <m:sty m:val="p"/>
                </m:rPr>
                <w:rPr>
                  <w:rFonts w:ascii="Cambria Math" w:hAnsi="Cambria Math"/>
                </w:rPr>
                <m:t xml:space="preserve">RWA</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20 785</m:t>
              </m:r>
            </m:num>
            <m:den>
              <m:r>
                <m:rPr>
                  <m:sty m:val="p"/>
                </m:rPr>
                <w:rPr>
                  <w:rFonts w:ascii="Cambria Math" w:hAnsi="Cambria Math"/>
                </w:rPr>
                <m:t xml:space="preserve">232 664</m:t>
              </m:r>
            </m:den>
          </m:f>
          <m:r>
            <m:rPr>
              <m:sty m:val="p"/>
            </m:rPr>
            <w:rPr>
              <w:rFonts w:ascii="Cambria Math" w:hAnsi="Cambria Math"/>
            </w:rPr>
            <m:t xml:space="preserve"> = 8,93 %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24 322</m:t>
              </m:r>
            </m:num>
            <m:den>
              <m:r>
                <m:rPr>
                  <m:sty m:val="p"/>
                </m:rPr>
                <w:rPr>
                  <w:rFonts w:ascii="Cambria Math" w:hAnsi="Cambria Math"/>
                </w:rPr>
                <m:t xml:space="preserve">226 068</m:t>
              </m:r>
            </m:den>
          </m:f>
          <m:r>
            <m:rPr>
              <m:sty m:val="p"/>
            </m:rPr>
            <w:rPr>
              <w:rFonts w:ascii="Cambria Math" w:hAnsi="Cambria Math"/>
            </w:rPr>
            <m:t xml:space="preserve"> = 10,76 %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27 228</m:t>
              </m:r>
            </m:num>
            <m:den>
              <m:r>
                <m:rPr>
                  <m:sty m:val="p"/>
                </m:rPr>
                <w:rPr>
                  <w:rFonts w:ascii="Cambria Math" w:hAnsi="Cambria Math"/>
                </w:rPr>
                <m:t xml:space="preserve">237 172</m:t>
              </m:r>
            </m:den>
          </m:f>
          <m:r>
            <m:rPr>
              <m:sty m:val="p"/>
            </m:rPr>
            <w:rPr>
              <w:rFonts w:ascii="Cambria Math" w:hAnsi="Cambria Math"/>
            </w:rPr>
            <m:t xml:space="preserve"> = 11,48 %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8,93 %</w:t>
            </w:r>
          </w:p>
        </w:tc>
        <w:tc>
          <w:tcPr>
            <w:tcW w:w="2506" w:type="dxa"/>
          </w:tcPr>
          <w:p>
            <w:pPr>
              <w:spacing w:after="0"/>
              <w:jc w:val="right"/>
            </w:pPr>
            <w:r>
              <w:rPr>
                <w:sz w:val="18"/>
                <w:szCs w:val="18"/>
              </w:rPr>
              <w:t xml:space="preserve">10,76 %</w:t>
            </w:r>
          </w:p>
        </w:tc>
        <w:tc>
          <w:tcPr>
            <w:tcW w:w="2506" w:type="dxa"/>
          </w:tcPr>
          <w:p>
            <w:pPr>
              <w:spacing w:after="0"/>
              <w:jc w:val="right"/>
            </w:pPr>
            <w:r>
              <w:rPr>
                <w:sz w:val="18"/>
                <w:szCs w:val="18"/>
              </w:rPr>
              <w:t xml:space="preserve">11,48 %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r>
    </w:tbl>
    <w:p>
      <w:pPr>
        <w:spacing w:after="60"/>
      </w:pPr>
    </w:p>
    <w:p>
      <w:pPr>
        <w:keepNext/>
        <w:spacing w:after="0"/>
      </w:pPr>
      <w:r>
        <w:drawing>
          <wp:inline distT="0" distB="0" distL="0" distR="0">
            <wp:extent cx="5400000" cy="222750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que10.png"/>
                    <pic:cNvPicPr/>
                  </pic:nvPicPr>
                  <pic:blipFill>
                    <a:blip r:embed="rIdImg10"/>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10 – Ratio CET1 par exercice</w:t>
      </w:r>
    </w:p>
    <w:p>
      <w:r>
        <w:t xml:space="preserve">Passe de </w:t>
      </w:r>
      <w:r>
        <w:rPr>
          <w:b/>
        </w:rPr>
        <w:t xml:space="preserve">8,93 %</w:t>
      </w:r>
      <w:r>
        <w:t xml:space="preserve"> en 2021 à </w:t>
      </w:r>
      <w:r>
        <w:rPr>
          <w:b/>
        </w:rPr>
        <w:t xml:space="preserve">11,48 %</w:t>
      </w:r>
      <w:r>
        <w:t xml:space="preserve"> en 2023 (+2,55 pt), hausse continue sur la période. Le noyau dur de solvabilité se renforce. Confortablement au-dessus de le minimum réglementaire de 7,5 % (marge +3,98 pt).</w:t>
      </w:r>
    </w:p>
    <w:p>
      <w:pPr>
        <w:pStyle w:val="Heading3"/>
        <w:keepNext/>
      </w:pPr>
      <w:r>
        <w:t xml:space="preserve">Ratio Tier 1</w:t>
      </w:r>
    </w:p>
    <w:p>
      <w:pPr>
        <w:spacing w:after="60"/>
      </w:pPr>
      <w:r>
        <w:rPr>
          <w:i/>
          <w:color w:val="6B7770"/>
          <w:sz w:val="17"/>
          <w:szCs w:val="17"/>
        </w:rPr>
        <w:t xml:space="preserve">Bâle III · seuil ≥ 8,5 % (norme)</w:t>
      </w:r>
    </w:p>
    <w:p>
      <w:r>
        <w:rPr>
          <w:sz w:val="19"/>
          <w:szCs w:val="19"/>
        </w:rPr>
        <w:t xml:space="preserve">Fonds propres de base (CET1 + AT1) rapportés aux actifs pondérés.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Tier 1 = </m:t>
          </m:r>
          <m:f>
            <m:num>
              <m:r>
                <m:rPr>
                  <m:sty m:val="p"/>
                </m:rPr>
                <w:rPr>
                  <w:rFonts w:ascii="Cambria Math" w:hAnsi="Cambria Math"/>
                </w:rPr>
                <m:t xml:space="preserve">Tier 1</m:t>
              </m:r>
            </m:num>
            <m:den>
              <m:r>
                <m:rPr>
                  <m:sty m:val="p"/>
                </m:rPr>
                <w:rPr>
                  <w:rFonts w:ascii="Cambria Math" w:hAnsi="Cambria Math"/>
                </w:rPr>
                <m:t xml:space="preserve">RWA</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Tier 1 = </m:t>
          </m:r>
          <m:f>
            <m:num>
              <m:r>
                <m:rPr>
                  <m:sty m:val="p"/>
                </m:rPr>
                <w:rPr>
                  <w:rFonts w:ascii="Cambria Math" w:hAnsi="Cambria Math"/>
                </w:rPr>
                <m:t xml:space="preserve">20 785</m:t>
              </m:r>
            </m:num>
            <m:den>
              <m:r>
                <m:rPr>
                  <m:sty m:val="p"/>
                </m:rPr>
                <w:rPr>
                  <w:rFonts w:ascii="Cambria Math" w:hAnsi="Cambria Math"/>
                </w:rPr>
                <m:t xml:space="preserve">232 664</m:t>
              </m:r>
            </m:den>
          </m:f>
          <m:r>
            <m:rPr>
              <m:sty m:val="p"/>
            </m:rPr>
            <w:rPr>
              <w:rFonts w:ascii="Cambria Math" w:hAnsi="Cambria Math"/>
            </w:rPr>
            <m:t xml:space="preserve"> = 8,93 %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Tier 1 = </m:t>
          </m:r>
          <m:f>
            <m:num>
              <m:r>
                <m:rPr>
                  <m:sty m:val="p"/>
                </m:rPr>
                <w:rPr>
                  <w:rFonts w:ascii="Cambria Math" w:hAnsi="Cambria Math"/>
                </w:rPr>
                <m:t xml:space="preserve">24 322</m:t>
              </m:r>
            </m:num>
            <m:den>
              <m:r>
                <m:rPr>
                  <m:sty m:val="p"/>
                </m:rPr>
                <w:rPr>
                  <w:rFonts w:ascii="Cambria Math" w:hAnsi="Cambria Math"/>
                </w:rPr>
                <m:t xml:space="preserve">226 068</m:t>
              </m:r>
            </m:den>
          </m:f>
          <m:r>
            <m:rPr>
              <m:sty m:val="p"/>
            </m:rPr>
            <w:rPr>
              <w:rFonts w:ascii="Cambria Math" w:hAnsi="Cambria Math"/>
            </w:rPr>
            <m:t xml:space="preserve"> = 10,76 %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Tier 1 = </m:t>
          </m:r>
          <m:f>
            <m:num>
              <m:r>
                <m:rPr>
                  <m:sty m:val="p"/>
                </m:rPr>
                <w:rPr>
                  <w:rFonts w:ascii="Cambria Math" w:hAnsi="Cambria Math"/>
                </w:rPr>
                <m:t xml:space="preserve">27 228</m:t>
              </m:r>
            </m:num>
            <m:den>
              <m:r>
                <m:rPr>
                  <m:sty m:val="p"/>
                </m:rPr>
                <w:rPr>
                  <w:rFonts w:ascii="Cambria Math" w:hAnsi="Cambria Math"/>
                </w:rPr>
                <m:t xml:space="preserve">237 172</m:t>
              </m:r>
            </m:den>
          </m:f>
          <m:r>
            <m:rPr>
              <m:sty m:val="p"/>
            </m:rPr>
            <w:rPr>
              <w:rFonts w:ascii="Cambria Math" w:hAnsi="Cambria Math"/>
            </w:rPr>
            <m:t xml:space="preserve"> = 11,48 %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8,93 %</w:t>
            </w:r>
          </w:p>
        </w:tc>
        <w:tc>
          <w:tcPr>
            <w:tcW w:w="2506" w:type="dxa"/>
          </w:tcPr>
          <w:p>
            <w:pPr>
              <w:spacing w:after="0"/>
              <w:jc w:val="right"/>
            </w:pPr>
            <w:r>
              <w:rPr>
                <w:sz w:val="18"/>
                <w:szCs w:val="18"/>
              </w:rPr>
              <w:t xml:space="preserve">10,76 %</w:t>
            </w:r>
          </w:p>
        </w:tc>
        <w:tc>
          <w:tcPr>
            <w:tcW w:w="2506" w:type="dxa"/>
          </w:tcPr>
          <w:p>
            <w:pPr>
              <w:spacing w:after="0"/>
              <w:jc w:val="right"/>
            </w:pPr>
            <w:r>
              <w:rPr>
                <w:sz w:val="18"/>
                <w:szCs w:val="18"/>
              </w:rPr>
              <w:t xml:space="preserve">11,48 %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8F5500"/>
                <w:sz w:val="18"/>
                <w:szCs w:val="18"/>
              </w:rPr>
              <w:t xml:space="preserve">! Marge faible</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r>
    </w:tbl>
    <w:p>
      <w:pPr>
        <w:spacing w:after="60"/>
      </w:pPr>
    </w:p>
    <w:p>
      <w:pPr>
        <w:keepNext/>
        <w:spacing w:after="0"/>
      </w:pPr>
      <w:r>
        <w:drawing>
          <wp:inline distT="0" distB="0" distL="0" distR="0">
            <wp:extent cx="5400000" cy="2227500"/>
            <wp:docPr id="11" name="Graphiqu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11.png"/>
                    <pic:cNvPicPr/>
                  </pic:nvPicPr>
                  <pic:blipFill>
                    <a:blip r:embed="rIdImg11"/>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11 – Ratio Tier 1 par exercice</w:t>
      </w:r>
    </w:p>
    <w:p>
      <w:r>
        <w:t xml:space="preserve">Passe de </w:t>
      </w:r>
      <w:r>
        <w:rPr>
          <w:b/>
        </w:rPr>
        <w:t xml:space="preserve">8,93 %</w:t>
      </w:r>
      <w:r>
        <w:t xml:space="preserve"> en 2021 à </w:t>
      </w:r>
      <w:r>
        <w:rPr>
          <w:b/>
        </w:rPr>
        <w:t xml:space="preserve">11,48 %</w:t>
      </w:r>
      <w:r>
        <w:t xml:space="preserve"> en 2023 (+2,55 pt), hausse continue sur la période. Les fonds propres de base couvrent mieux les risques. Confortablement au-dessus de le minimum réglementaire de 8,5 % (marge +2,98 pt).</w:t>
      </w:r>
    </w:p>
    <w:p>
      <w:pPr>
        <w:pStyle w:val="Heading1"/>
        <w:keepNext/>
        <w:pageBreakBefore/>
      </w:pPr>
      <w:r>
        <w:t xml:space="preserve">4. Rentabilité : ROA, ROE et effet de levier</w:t>
      </w:r>
    </w:p>
    <w:p>
      <w:pPr>
        <w:pStyle w:val="Note"/>
      </w:pPr>
      <w:r>
        <w:rPr>
          <w:i/>
          <w:color w:val="6B7770"/>
          <w:sz w:val="18"/>
          <w:szCs w:val="18"/>
        </w:rPr>
        <w:t xml:space="preserve">Base de calcul : montants de fin d’exercice.</w:t>
      </w:r>
    </w:p>
    <w:p>
      <w:pPr>
        <w:pStyle w:val="Heading2"/>
        <w:keepNext/>
      </w:pPr>
      <w:r>
        <w:t xml:space="preserve">ROA (Return on Assets)</w:t>
      </w:r>
    </w:p>
    <w:p>
      <w:pPr>
        <w:spacing w:after="60"/>
      </w:pPr>
      <w:r>
        <w:rPr>
          <w:i/>
          <w:color w:val="6B7770"/>
          <w:sz w:val="17"/>
          <w:szCs w:val="17"/>
        </w:rPr>
        <w:t xml:space="preserve">Indicateur d'analyse · seuil ≥ 1,0 % (repère)</w:t>
      </w:r>
    </w:p>
    <w:p>
      <w:r>
        <w:rPr>
          <w:sz w:val="19"/>
          <w:szCs w:val="19"/>
        </w:rPr>
        <w:t xml:space="preserve">Résultat net rapporté au total actif. Mesure la rentabilité économique : ce que rapporte chaque franc d’actif.</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ROA = </m:t>
          </m:r>
          <m:f>
            <m:num>
              <m:r>
                <m:rPr>
                  <m:sty m:val="p"/>
                </m:rPr>
                <w:rPr>
                  <w:rFonts w:ascii="Cambria Math" w:hAnsi="Cambria Math"/>
                </w:rPr>
                <m:t xml:space="preserve">Résultat net</m:t>
              </m:r>
            </m:num>
            <m:den>
              <m:r>
                <m:rPr>
                  <m:sty m:val="p"/>
                </m:rPr>
                <w:rPr>
                  <w:rFonts w:ascii="Cambria Math" w:hAnsi="Cambria Math"/>
                </w:rPr>
                <m:t xml:space="preserve">Total actif</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ROA = </m:t>
          </m:r>
          <m:f>
            <m:num>
              <m:r>
                <m:rPr>
                  <m:sty m:val="p"/>
                </m:rPr>
                <w:rPr>
                  <w:rFonts w:ascii="Cambria Math" w:hAnsi="Cambria Math"/>
                </w:rPr>
                <m:t xml:space="preserve">3 112</m:t>
              </m:r>
            </m:num>
            <m:den>
              <m:r>
                <m:rPr>
                  <m:sty m:val="p"/>
                </m:rPr>
                <w:rPr>
                  <w:rFonts w:ascii="Cambria Math" w:hAnsi="Cambria Math"/>
                </w:rPr>
                <m:t xml:space="preserve">301 931</m:t>
              </m:r>
            </m:den>
          </m:f>
          <m:r>
            <m:rPr>
              <m:sty m:val="p"/>
            </m:rPr>
            <w:rPr>
              <w:rFonts w:ascii="Cambria Math" w:hAnsi="Cambria Math"/>
            </w:rPr>
            <m:t xml:space="preserve"> = 1,03 %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ROA = </m:t>
          </m:r>
          <m:f>
            <m:num>
              <m:r>
                <m:rPr>
                  <m:sty m:val="p"/>
                </m:rPr>
                <w:rPr>
                  <w:rFonts w:ascii="Cambria Math" w:hAnsi="Cambria Math"/>
                </w:rPr>
                <m:t xml:space="preserve">3 595</m:t>
              </m:r>
            </m:num>
            <m:den>
              <m:r>
                <m:rPr>
                  <m:sty m:val="p"/>
                </m:rPr>
                <w:rPr>
                  <w:rFonts w:ascii="Cambria Math" w:hAnsi="Cambria Math"/>
                </w:rPr>
                <m:t xml:space="preserve">269 088</m:t>
              </m:r>
            </m:den>
          </m:f>
          <m:r>
            <m:rPr>
              <m:sty m:val="p"/>
            </m:rPr>
            <w:rPr>
              <w:rFonts w:ascii="Cambria Math" w:hAnsi="Cambria Math"/>
            </w:rPr>
            <m:t xml:space="preserve"> = 1,34 %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ROA = </m:t>
          </m:r>
          <m:f>
            <m:num>
              <m:r>
                <m:rPr>
                  <m:sty m:val="p"/>
                </m:rPr>
                <w:rPr>
                  <w:rFonts w:ascii="Cambria Math" w:hAnsi="Cambria Math"/>
                </w:rPr>
                <m:t xml:space="preserve">2 908</m:t>
              </m:r>
            </m:num>
            <m:den>
              <m:r>
                <m:rPr>
                  <m:sty m:val="p"/>
                </m:rPr>
                <w:rPr>
                  <w:rFonts w:ascii="Cambria Math" w:hAnsi="Cambria Math"/>
                </w:rPr>
                <m:t xml:space="preserve">295 660</m:t>
              </m:r>
            </m:den>
          </m:f>
          <m:r>
            <m:rPr>
              <m:sty m:val="p"/>
            </m:rPr>
            <w:rPr>
              <w:rFonts w:ascii="Cambria Math" w:hAnsi="Cambria Math"/>
            </w:rPr>
            <m:t xml:space="preserve"> = 0,98 %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1,03 %</w:t>
            </w:r>
          </w:p>
        </w:tc>
        <w:tc>
          <w:tcPr>
            <w:tcW w:w="2506" w:type="dxa"/>
          </w:tcPr>
          <w:p>
            <w:pPr>
              <w:spacing w:after="0"/>
              <w:jc w:val="right"/>
            </w:pPr>
            <w:r>
              <w:rPr>
                <w:sz w:val="18"/>
                <w:szCs w:val="18"/>
              </w:rPr>
              <w:t xml:space="preserve">1,34 %</w:t>
            </w:r>
          </w:p>
        </w:tc>
        <w:tc>
          <w:tcPr>
            <w:tcW w:w="2506" w:type="dxa"/>
          </w:tcPr>
          <w:p>
            <w:pPr>
              <w:spacing w:after="0"/>
              <w:jc w:val="right"/>
            </w:pPr>
            <w:r>
              <w:rPr>
                <w:sz w:val="18"/>
                <w:szCs w:val="18"/>
              </w:rPr>
              <w:t xml:space="preserve">0,98 %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8F5500"/>
                <w:sz w:val="18"/>
                <w:szCs w:val="18"/>
              </w:rPr>
              <w:t xml:space="preserve">! Marge faible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B3302A"/>
                <w:sz w:val="18"/>
                <w:szCs w:val="18"/>
              </w:rPr>
              <w:t xml:space="preserve">✕ Hors repère</w:t>
            </w:r>
          </w:p>
        </w:tc>
      </w:tr>
    </w:tbl>
    <w:p>
      <w:pPr>
        <w:spacing w:after="60"/>
      </w:pPr>
    </w:p>
    <w:p>
      <w:pPr>
        <w:keepNext/>
        <w:spacing w:after="0"/>
      </w:pPr>
      <w:r>
        <w:drawing>
          <wp:inline distT="0" distB="0" distL="0" distR="0">
            <wp:extent cx="5400000" cy="2227500"/>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que12.png"/>
                    <pic:cNvPicPr/>
                  </pic:nvPicPr>
                  <pic:blipFill>
                    <a:blip r:embed="rIdImg12"/>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12 – ROA par exercice</w:t>
      </w:r>
    </w:p>
    <w:p>
      <w:r>
        <w:t xml:space="preserve">Passe de </w:t>
      </w:r>
      <w:r>
        <w:rPr>
          <w:b/>
        </w:rPr>
        <w:t xml:space="preserve">1,03 %</w:t>
      </w:r>
      <w:r>
        <w:t xml:space="preserve"> en 2021 à </w:t>
      </w:r>
      <w:r>
        <w:rPr>
          <w:b/>
        </w:rPr>
        <w:t xml:space="preserve">0,98 %</w:t>
      </w:r>
      <w:r>
        <w:t xml:space="preserve"> en 2023 (−0,05 pt), avec une hausse en 2022 puis une baisse en 2023. Les actifs rapportent moins. En 2023, le ratio est </w:t>
      </w:r>
      <w:r>
        <w:rPr>
          <w:b/>
        </w:rPr>
        <w:t xml:space="preserve">sous le repère de 1,0 %</w:t>
      </w:r>
      <w:r>
        <w:t xml:space="preserve"> (écart −0,02 pt).</w:t>
      </w:r>
    </w:p>
    <w:p>
      <w:pPr>
        <w:pStyle w:val="Heading2"/>
        <w:keepNext/>
      </w:pPr>
      <w:r>
        <w:t xml:space="preserve">ROE (Return on Equity)</w:t>
      </w:r>
    </w:p>
    <w:p>
      <w:pPr>
        <w:spacing w:after="60"/>
      </w:pPr>
      <w:r>
        <w:rPr>
          <w:i/>
          <w:color w:val="6B7770"/>
          <w:sz w:val="17"/>
          <w:szCs w:val="17"/>
        </w:rPr>
        <w:t xml:space="preserve">Indicateur d'analyse · seuil ≥ 10,0 % (repère)</w:t>
      </w:r>
    </w:p>
    <w:p>
      <w:r>
        <w:rPr>
          <w:sz w:val="19"/>
          <w:szCs w:val="19"/>
        </w:rPr>
        <w:t xml:space="preserve">Résultat net rapporté aux capitaux propres. Mesure la rentabilité financière pour l’actionnaire. ROE = ROA × multiplicateur de fonds propres.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ROE = </m:t>
          </m:r>
          <m:f>
            <m:num>
              <m:r>
                <m:rPr>
                  <m:sty m:val="p"/>
                </m:rPr>
                <w:rPr>
                  <w:rFonts w:ascii="Cambria Math" w:hAnsi="Cambria Math"/>
                </w:rPr>
                <m:t xml:space="preserve">Résultat net</m:t>
              </m:r>
            </m:num>
            <m:den>
              <m:r>
                <m:rPr>
                  <m:sty m:val="p"/>
                </m:rPr>
                <w:rPr>
                  <w:rFonts w:ascii="Cambria Math" w:hAnsi="Cambria Math"/>
                </w:rPr>
                <m:t xml:space="preserve">Capitaux propres</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ROE = </m:t>
          </m:r>
          <m:f>
            <m:num>
              <m:r>
                <m:rPr>
                  <m:sty m:val="p"/>
                </m:rPr>
                <w:rPr>
                  <w:rFonts w:ascii="Cambria Math" w:hAnsi="Cambria Math"/>
                </w:rPr>
                <m:t xml:space="preserve">3 112</m:t>
              </m:r>
            </m:num>
            <m:den>
              <m:r>
                <m:rPr>
                  <m:sty m:val="p"/>
                </m:rPr>
                <w:rPr>
                  <w:rFonts w:ascii="Cambria Math" w:hAnsi="Cambria Math"/>
                </w:rPr>
                <m:t xml:space="preserve">20 787</m:t>
              </m:r>
            </m:den>
          </m:f>
          <m:r>
            <m:rPr>
              <m:sty m:val="p"/>
            </m:rPr>
            <w:rPr>
              <w:rFonts w:ascii="Cambria Math" w:hAnsi="Cambria Math"/>
            </w:rPr>
            <m:t xml:space="preserve"> = 14,97 %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ROE = </m:t>
          </m:r>
          <m:f>
            <m:num>
              <m:r>
                <m:rPr>
                  <m:sty m:val="p"/>
                </m:rPr>
                <w:rPr>
                  <w:rFonts w:ascii="Cambria Math" w:hAnsi="Cambria Math"/>
                </w:rPr>
                <m:t xml:space="preserve">3 595</m:t>
              </m:r>
            </m:num>
            <m:den>
              <m:r>
                <m:rPr>
                  <m:sty m:val="p"/>
                </m:rPr>
                <w:rPr>
                  <w:rFonts w:ascii="Cambria Math" w:hAnsi="Cambria Math"/>
                </w:rPr>
                <m:t xml:space="preserve">24 381</m:t>
              </m:r>
            </m:den>
          </m:f>
          <m:r>
            <m:rPr>
              <m:sty m:val="p"/>
            </m:rPr>
            <w:rPr>
              <w:rFonts w:ascii="Cambria Math" w:hAnsi="Cambria Math"/>
            </w:rPr>
            <m:t xml:space="preserve"> = 14,75 %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ROE = </m:t>
          </m:r>
          <m:f>
            <m:num>
              <m:r>
                <m:rPr>
                  <m:sty m:val="p"/>
                </m:rPr>
                <w:rPr>
                  <w:rFonts w:ascii="Cambria Math" w:hAnsi="Cambria Math"/>
                </w:rPr>
                <m:t xml:space="preserve">2 908</m:t>
              </m:r>
            </m:num>
            <m:den>
              <m:r>
                <m:rPr>
                  <m:sty m:val="p"/>
                </m:rPr>
                <w:rPr>
                  <w:rFonts w:ascii="Cambria Math" w:hAnsi="Cambria Math"/>
                </w:rPr>
                <m:t xml:space="preserve">27 289</m:t>
              </m:r>
            </m:den>
          </m:f>
          <m:r>
            <m:rPr>
              <m:sty m:val="p"/>
            </m:rPr>
            <w:rPr>
              <w:rFonts w:ascii="Cambria Math" w:hAnsi="Cambria Math"/>
            </w:rPr>
            <m:t xml:space="preserve"> = 10,66 %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14,97 %</w:t>
            </w:r>
          </w:p>
        </w:tc>
        <w:tc>
          <w:tcPr>
            <w:tcW w:w="2506" w:type="dxa"/>
          </w:tcPr>
          <w:p>
            <w:pPr>
              <w:spacing w:after="0"/>
              <w:jc w:val="right"/>
            </w:pPr>
            <w:r>
              <w:rPr>
                <w:sz w:val="18"/>
                <w:szCs w:val="18"/>
              </w:rPr>
              <w:t xml:space="preserve">14,75 %</w:t>
            </w:r>
          </w:p>
        </w:tc>
        <w:tc>
          <w:tcPr>
            <w:tcW w:w="2506" w:type="dxa"/>
          </w:tcPr>
          <w:p>
            <w:pPr>
              <w:spacing w:after="0"/>
              <w:jc w:val="right"/>
            </w:pPr>
            <w:r>
              <w:rPr>
                <w:sz w:val="18"/>
                <w:szCs w:val="18"/>
              </w:rPr>
              <w:t xml:space="preserve">10,66 %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8F5500"/>
                <w:sz w:val="18"/>
                <w:szCs w:val="18"/>
              </w:rPr>
              <w:t xml:space="preserve">! Marge faible</w:t>
            </w:r>
          </w:p>
        </w:tc>
      </w:tr>
    </w:tbl>
    <w:p>
      <w:pPr>
        <w:spacing w:after="60"/>
      </w:pPr>
    </w:p>
    <w:p>
      <w:pPr>
        <w:keepNext/>
        <w:spacing w:after="0"/>
      </w:pPr>
      <w:r>
        <w:drawing>
          <wp:inline distT="0" distB="0" distL="0" distR="0">
            <wp:extent cx="5400000" cy="2227500"/>
            <wp:docPr id="13" name="Graphiqu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que13.png"/>
                    <pic:cNvPicPr/>
                  </pic:nvPicPr>
                  <pic:blipFill>
                    <a:blip r:embed="rIdImg13"/>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13 – ROE par exercice</w:t>
      </w:r>
    </w:p>
    <w:p>
      <w:r>
        <w:t xml:space="preserve">Passe de </w:t>
      </w:r>
      <w:r>
        <w:rPr>
          <w:b/>
        </w:rPr>
        <w:t xml:space="preserve">14,97 %</w:t>
      </w:r>
      <w:r>
        <w:t xml:space="preserve"> en 2021 à </w:t>
      </w:r>
      <w:r>
        <w:rPr>
          <w:b/>
        </w:rPr>
        <w:t xml:space="preserve">10,66 %</w:t>
      </w:r>
      <w:r>
        <w:t xml:space="preserve"> en 2023 (−4,31 pt), baisse continue sur la période. La rentabilité pour l’actionnaire recule. Au-dessus de le repère de 10,0 % mais avec une marge faible (+0,66 pt).</w:t>
      </w:r>
    </w:p>
    <w:p>
      <w:pPr>
        <w:pStyle w:val="Heading2"/>
        <w:keepNext/>
      </w:pPr>
      <w:r>
        <w:t xml:space="preserve">Effet de levier : identité de Du Pont</w:t>
      </w:r>
    </w:p>
    <w:p>
      <w:pPr>
        <w:spacing w:after="80"/>
      </w:pPr>
      <m:oMathPara>
        <m:oMathParaPr>
          <m:jc m:val="left"/>
        </m:oMathParaPr>
        <m:oMath>
          <m:r>
            <m:rPr>
              <m:sty m:val="p"/>
            </m:rPr>
            <w:rPr>
              <w:rFonts w:ascii="Cambria Math" w:hAnsi="Cambria Math"/>
            </w:rPr>
            <m:t xml:space="preserve">ROE = </m:t>
          </m:r>
          <m:f>
            <m:num>
              <m:r>
                <m:rPr>
                  <m:sty m:val="p"/>
                </m:rPr>
                <w:rPr>
                  <w:rFonts w:ascii="Cambria Math" w:hAnsi="Cambria Math"/>
                </w:rPr>
                <m:t xml:space="preserve">Résultat net</m:t>
              </m:r>
            </m:num>
            <m:den>
              <m:r>
                <m:rPr>
                  <m:sty m:val="p"/>
                </m:rPr>
                <w:rPr>
                  <w:rFonts w:ascii="Cambria Math" w:hAnsi="Cambria Math"/>
                </w:rPr>
                <m:t xml:space="preserve">Capitaux propres</m:t>
              </m:r>
            </m:den>
          </m:f>
          <m:r>
            <m:rPr>
              <m:sty m:val="p"/>
            </m:rPr>
            <w:rPr>
              <w:rFonts w:ascii="Cambria Math" w:hAnsi="Cambria Math"/>
            </w:rPr>
            <m:t xml:space="preserve"> = </m:t>
          </m:r>
          <m:f>
            <m:num>
              <m:r>
                <m:rPr>
                  <m:sty m:val="p"/>
                </m:rPr>
                <w:rPr>
                  <w:rFonts w:ascii="Cambria Math" w:hAnsi="Cambria Math"/>
                </w:rPr>
                <m:t xml:space="preserve">Résultat net</m:t>
              </m:r>
            </m:num>
            <m:den>
              <m:r>
                <m:rPr>
                  <m:sty m:val="p"/>
                </m:rPr>
                <w:rPr>
                  <w:rFonts w:ascii="Cambria Math" w:hAnsi="Cambria Math"/>
                </w:rPr>
                <m:t xml:space="preserve">Total actif</m:t>
              </m:r>
            </m:den>
          </m:f>
          <m:r>
            <m:rPr>
              <m:sty m:val="p"/>
            </m:rPr>
            <w:rPr>
              <w:rFonts w:ascii="Cambria Math" w:hAnsi="Cambria Math"/>
            </w:rPr>
            <m:t xml:space="preserve"> × </m:t>
          </m:r>
          <m:f>
            <m:num>
              <m:r>
                <m:rPr>
                  <m:sty m:val="p"/>
                </m:rPr>
                <w:rPr>
                  <w:rFonts w:ascii="Cambria Math" w:hAnsi="Cambria Math"/>
                </w:rPr>
                <m:t xml:space="preserve">Total actif</m:t>
              </m:r>
            </m:num>
            <m:den>
              <m:r>
                <m:rPr>
                  <m:sty m:val="p"/>
                </m:rPr>
                <w:rPr>
                  <w:rFonts w:ascii="Cambria Math" w:hAnsi="Cambria Math"/>
                </w:rPr>
                <m:t xml:space="preserve">Capitaux propres</m:t>
              </m:r>
            </m:den>
          </m:f>
          <m:r>
            <m:rPr>
              <m:sty m:val="p"/>
            </m:rPr>
            <w:rPr>
              <w:rFonts w:ascii="Cambria Math" w:hAnsi="Cambria Math"/>
            </w:rPr>
            <m:t xml:space="preserve"> = ROA × Multiplicateur</m:t>
          </m:r>
        </m:oMath>
      </m:oMathPara>
    </w:p>
    <w:tbl>
      <w:tblPr>
        <w:tblStyle w:val="Grille"/>
        <w:tblW w:w="5000" w:type="pct"/>
        <w:tblLayout w:type="autofit"/>
      </w:tblPr>
      <w:tblGrid>
        <w:gridCol w:w="2891"/>
        <w:gridCol w:w="2249"/>
        <w:gridCol w:w="2249"/>
        <w:gridCol w:w="2249"/>
      </w:tblGrid>
      <w:tr>
        <w:trPr>
          <w:tblHeader/>
          <w:cantSplit/>
        </w:trPr>
        <w:tc>
          <w:tcPr>
            <w:tcW w:w="2891" w:type="dxa"/>
            <w:shd w:val="clear" w:color="auto" w:fill="E8EDE8"/>
          </w:tcPr>
          <w:p>
            <w:pPr>
              <w:spacing w:after="0"/>
              <w:jc w:val="left"/>
            </w:pPr>
            <w:r>
              <w:rPr>
                <w:b/>
                <w:sz w:val="17"/>
                <w:szCs w:val="17"/>
              </w:rPr>
              <w:t xml:space="preserve">Décomposition</w:t>
            </w:r>
          </w:p>
        </w:tc>
        <w:tc>
          <w:tcPr>
            <w:tcW w:w="2249" w:type="dxa"/>
            <w:shd w:val="clear" w:color="auto" w:fill="E8EDE8"/>
          </w:tcPr>
          <w:p>
            <w:pPr>
              <w:spacing w:after="0"/>
              <w:jc w:val="right"/>
            </w:pPr>
            <w:r>
              <w:rPr>
                <w:b/>
                <w:sz w:val="17"/>
                <w:szCs w:val="17"/>
              </w:rPr>
              <w:t xml:space="preserve">2021</w:t>
            </w:r>
          </w:p>
        </w:tc>
        <w:tc>
          <w:tcPr>
            <w:tcW w:w="2249" w:type="dxa"/>
            <w:shd w:val="clear" w:color="auto" w:fill="E8EDE8"/>
          </w:tcPr>
          <w:p>
            <w:pPr>
              <w:spacing w:after="0"/>
              <w:jc w:val="right"/>
            </w:pPr>
            <w:r>
              <w:rPr>
                <w:b/>
                <w:sz w:val="17"/>
                <w:szCs w:val="17"/>
              </w:rPr>
              <w:t xml:space="preserve">2022</w:t>
            </w:r>
          </w:p>
        </w:tc>
        <w:tc>
          <w:tcPr>
            <w:tcW w:w="2249" w:type="dxa"/>
            <w:shd w:val="clear" w:color="auto" w:fill="E8EDE8"/>
          </w:tcPr>
          <w:p>
            <w:pPr>
              <w:spacing w:after="0"/>
              <w:jc w:val="right"/>
            </w:pPr>
            <w:r>
              <w:rPr>
                <w:b/>
                <w:sz w:val="17"/>
                <w:szCs w:val="17"/>
              </w:rPr>
              <w:t xml:space="preserve">2023</w:t>
            </w:r>
          </w:p>
        </w:tc>
      </w:tr>
      <w:tr>
        <w:trPr>
          <w:cantSplit/>
        </w:trPr>
        <w:tc>
          <w:tcPr>
            <w:tcW w:w="2891" w:type="dxa"/>
          </w:tcPr>
          <w:p>
            <w:pPr>
              <w:spacing w:after="0"/>
              <w:jc w:val="left"/>
            </w:pPr>
            <w:r>
              <w:rPr>
                <w:sz w:val="18"/>
                <w:szCs w:val="18"/>
              </w:rPr>
              <w:t xml:space="preserve">ROA</w:t>
            </w:r>
          </w:p>
        </w:tc>
        <w:tc>
          <w:tcPr>
            <w:tcW w:w="2249" w:type="dxa"/>
          </w:tcPr>
          <w:p>
            <w:pPr>
              <w:spacing w:after="0"/>
              <w:jc w:val="right"/>
            </w:pPr>
            <w:r>
              <w:rPr>
                <w:sz w:val="18"/>
                <w:szCs w:val="18"/>
              </w:rPr>
              <w:t xml:space="preserve">1,03 %</w:t>
            </w:r>
          </w:p>
        </w:tc>
        <w:tc>
          <w:tcPr>
            <w:tcW w:w="2249" w:type="dxa"/>
          </w:tcPr>
          <w:p>
            <w:pPr>
              <w:spacing w:after="0"/>
              <w:jc w:val="right"/>
            </w:pPr>
            <w:r>
              <w:rPr>
                <w:sz w:val="18"/>
                <w:szCs w:val="18"/>
              </w:rPr>
              <w:t xml:space="preserve">1,34 %</w:t>
            </w:r>
          </w:p>
        </w:tc>
        <w:tc>
          <w:tcPr>
            <w:tcW w:w="2249" w:type="dxa"/>
          </w:tcPr>
          <w:p>
            <w:pPr>
              <w:spacing w:after="0"/>
              <w:jc w:val="right"/>
            </w:pPr>
            <w:r>
              <w:rPr>
                <w:sz w:val="18"/>
                <w:szCs w:val="18"/>
              </w:rPr>
              <w:t xml:space="preserve">0,98 %</w:t>
            </w:r>
          </w:p>
        </w:tc>
      </w:tr>
      <w:tr>
        <w:trPr>
          <w:cantSplit/>
        </w:trPr>
        <w:tc>
          <w:tcPr>
            <w:tcW w:w="2891" w:type="dxa"/>
          </w:tcPr>
          <w:p>
            <w:pPr>
              <w:spacing w:after="0"/>
              <w:jc w:val="left"/>
            </w:pPr>
            <w:r>
              <w:rPr>
                <w:sz w:val="18"/>
                <w:szCs w:val="18"/>
              </w:rPr>
              <w:t xml:space="preserve">× Multiplicateur</w:t>
            </w:r>
          </w:p>
        </w:tc>
        <w:tc>
          <w:tcPr>
            <w:tcW w:w="2249" w:type="dxa"/>
          </w:tcPr>
          <w:p>
            <w:pPr>
              <w:spacing w:after="0"/>
              <w:jc w:val="right"/>
            </w:pPr>
            <w:r>
              <w:rPr>
                <w:sz w:val="18"/>
                <w:szCs w:val="18"/>
              </w:rPr>
              <w:t xml:space="preserve">14,52 ×</w:t>
            </w:r>
          </w:p>
        </w:tc>
        <w:tc>
          <w:tcPr>
            <w:tcW w:w="2249" w:type="dxa"/>
          </w:tcPr>
          <w:p>
            <w:pPr>
              <w:spacing w:after="0"/>
              <w:jc w:val="right"/>
            </w:pPr>
            <w:r>
              <w:rPr>
                <w:sz w:val="18"/>
                <w:szCs w:val="18"/>
              </w:rPr>
              <w:t xml:space="preserve">11,04 ×</w:t>
            </w:r>
          </w:p>
        </w:tc>
        <w:tc>
          <w:tcPr>
            <w:tcW w:w="2249" w:type="dxa"/>
          </w:tcPr>
          <w:p>
            <w:pPr>
              <w:spacing w:after="0"/>
              <w:jc w:val="right"/>
            </w:pPr>
            <w:r>
              <w:rPr>
                <w:sz w:val="18"/>
                <w:szCs w:val="18"/>
              </w:rPr>
              <w:t xml:space="preserve">10,83 ×</w:t>
            </w:r>
          </w:p>
        </w:tc>
      </w:tr>
      <w:tr>
        <w:trPr>
          <w:cantSplit/>
        </w:trPr>
        <w:tc>
          <w:tcPr>
            <w:tcW w:w="2891" w:type="dxa"/>
            <w:shd w:val="clear" w:color="auto" w:fill="F5F7F5"/>
          </w:tcPr>
          <w:p>
            <w:pPr>
              <w:spacing w:after="0"/>
              <w:jc w:val="left"/>
            </w:pPr>
            <w:r>
              <w:rPr>
                <w:b/>
                <w:sz w:val="18"/>
                <w:szCs w:val="18"/>
              </w:rPr>
              <w:t xml:space="preserve">= ROE</w:t>
            </w:r>
          </w:p>
        </w:tc>
        <w:tc>
          <w:tcPr>
            <w:tcW w:w="2249" w:type="dxa"/>
            <w:shd w:val="clear" w:color="auto" w:fill="F5F7F5"/>
          </w:tcPr>
          <w:p>
            <w:pPr>
              <w:spacing w:after="0"/>
              <w:jc w:val="right"/>
            </w:pPr>
            <w:r>
              <w:rPr>
                <w:b/>
                <w:sz w:val="18"/>
                <w:szCs w:val="18"/>
              </w:rPr>
              <w:t xml:space="preserve">14,97 %</w:t>
            </w:r>
          </w:p>
        </w:tc>
        <w:tc>
          <w:tcPr>
            <w:tcW w:w="2249" w:type="dxa"/>
            <w:shd w:val="clear" w:color="auto" w:fill="F5F7F5"/>
          </w:tcPr>
          <w:p>
            <w:pPr>
              <w:spacing w:after="0"/>
              <w:jc w:val="right"/>
            </w:pPr>
            <w:r>
              <w:rPr>
                <w:b/>
                <w:sz w:val="18"/>
                <w:szCs w:val="18"/>
              </w:rPr>
              <w:t xml:space="preserve">14,75 %</w:t>
            </w:r>
          </w:p>
        </w:tc>
        <w:tc>
          <w:tcPr>
            <w:tcW w:w="2249" w:type="dxa"/>
            <w:shd w:val="clear" w:color="auto" w:fill="F5F7F5"/>
          </w:tcPr>
          <w:p>
            <w:pPr>
              <w:spacing w:after="0"/>
              <w:jc w:val="right"/>
            </w:pPr>
            <w:r>
              <w:rPr>
                <w:b/>
                <w:sz w:val="18"/>
                <w:szCs w:val="18"/>
              </w:rPr>
              <w:t xml:space="preserve">10,66 %</w:t>
            </w:r>
          </w:p>
        </w:tc>
      </w:tr>
    </w:tbl>
    <w:p>
      <w:pPr>
        <w:spacing w:after="60"/>
      </w:pPr>
    </w:p>
    <w:p>
      <w:r>
        <w:rPr>
          <w:b/>
        </w:rPr>
        <w:t xml:space="preserve">Ce qui explique la variation du ROE</w:t>
      </w:r>
    </w:p>
    <w:p>
      <w:pPr>
        <w:ind w:left="360" w:hanging="220"/>
      </w:pPr>
      <w:r>
        <w:t xml:space="preserve">•  </w:t>
      </w:r>
      <w:r>
        <w:rPr>
          <w:b/>
        </w:rPr>
        <w:t xml:space="preserve">2022</w:t>
      </w:r>
      <w:r>
        <w:t xml:space="preserve"> : le ROE varie de −0,23 pt. Effet rentabilité des actifs (ΔROA × multiplicateur</w:t>
      </w:r>
      <w:r>
        <w:rPr>
          <w:vertAlign w:val="subscript"/>
        </w:rPr>
        <w:t xml:space="preserve">N−1</w:t>
      </w:r>
      <w:r>
        <w:t xml:space="preserve">) : </w:t>
      </w:r>
      <w:r>
        <w:rPr>
          <w:b/>
        </w:rPr>
        <w:t xml:space="preserve">+4,43 pt</w:t>
      </w:r>
      <w:r>
        <w:t xml:space="preserve"> ; effet levier (ROA</w:t>
      </w:r>
      <w:r>
        <w:rPr>
          <w:vertAlign w:val="subscript"/>
        </w:rPr>
        <w:t xml:space="preserve">N</w:t>
      </w:r>
      <w:r>
        <w:t xml:space="preserve"> × Δmultiplicateur) : </w:t>
      </w:r>
      <w:r>
        <w:rPr>
          <w:b/>
        </w:rPr>
        <w:t xml:space="preserve">−4,66 pt</w:t>
      </w:r>
      <w:r>
        <w:t xml:space="preserve">. Le facteur dominant est l’effet de levier.</w:t>
      </w:r>
    </w:p>
    <w:p>
      <w:pPr>
        <w:ind w:left="360" w:hanging="220"/>
      </w:pPr>
      <w:r>
        <w:t xml:space="preserve">•  </w:t>
      </w:r>
      <w:r>
        <w:rPr>
          <w:b/>
        </w:rPr>
        <w:t xml:space="preserve">2023</w:t>
      </w:r>
      <w:r>
        <w:t xml:space="preserve"> : le ROE varie de −4,09 pt. Effet rentabilité des actifs (ΔROA × multiplicateur</w:t>
      </w:r>
      <w:r>
        <w:rPr>
          <w:vertAlign w:val="subscript"/>
        </w:rPr>
        <w:t xml:space="preserve">N−1</w:t>
      </w:r>
      <w:r>
        <w:t xml:space="preserve">) : </w:t>
      </w:r>
      <w:r>
        <w:rPr>
          <w:b/>
        </w:rPr>
        <w:t xml:space="preserve">−3,89 pt</w:t>
      </w:r>
      <w:r>
        <w:t xml:space="preserve"> ; effet levier (ROA</w:t>
      </w:r>
      <w:r>
        <w:rPr>
          <w:vertAlign w:val="subscript"/>
        </w:rPr>
        <w:t xml:space="preserve">N</w:t>
      </w:r>
      <w:r>
        <w:t xml:space="preserve"> × Δmultiplicateur) : </w:t>
      </w:r>
      <w:r>
        <w:rPr>
          <w:b/>
        </w:rPr>
        <w:t xml:space="preserve">−0,20 pt</w:t>
      </w:r>
      <w:r>
        <w:t xml:space="preserve">. Le facteur dominant est la rentabilité des actifs.</w:t>
      </w:r>
    </w:p>
    <w:p>
      <w:pPr>
        <w:pStyle w:val="Heading2"/>
        <w:keepNext/>
      </w:pPr>
      <w:r>
        <w:t xml:space="preserve">Exploitation</w:t>
      </w:r>
    </w:p>
    <w:p>
      <w:pPr>
        <w:pStyle w:val="Heading3"/>
        <w:keepNext/>
      </w:pPr>
      <w:r>
        <w:t xml:space="preserve">Coefficient d'exploitation</w:t>
      </w:r>
    </w:p>
    <w:p>
      <w:pPr>
        <w:spacing w:after="60"/>
      </w:pPr>
      <w:r>
        <w:rPr>
          <w:i/>
          <w:color w:val="6B7770"/>
          <w:sz w:val="17"/>
          <w:szCs w:val="17"/>
        </w:rPr>
        <w:t xml:space="preserve">Indicateur d'analyse · seuil ≤ 60,0 % (repère)</w:t>
      </w:r>
    </w:p>
    <w:p>
      <w:r>
        <w:rPr>
          <w:sz w:val="19"/>
          <w:szCs w:val="19"/>
        </w:rPr>
        <w:t xml:space="preserve">Part du PNB absorbée par les frais de fonctionnement. Plus il est bas, plus la banque est efficiente.</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Coefficient d'exploitation = </m:t>
          </m:r>
          <m:f>
            <m:num>
              <m:r>
                <m:rPr>
                  <m:sty m:val="p"/>
                </m:rPr>
                <w:rPr>
                  <w:rFonts w:ascii="Cambria Math" w:hAnsi="Cambria Math"/>
                </w:rPr>
                <m:t xml:space="preserve">Charges d'exploitation</m:t>
              </m:r>
            </m:num>
            <m:den>
              <m:r>
                <m:rPr>
                  <m:sty m:val="p"/>
                </m:rPr>
                <w:rPr>
                  <w:rFonts w:ascii="Cambria Math" w:hAnsi="Cambria Math"/>
                </w:rPr>
                <m:t xml:space="preserve">PNB</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Coefficient d'exploitation = </m:t>
          </m:r>
          <m:f>
            <m:num>
              <m:r>
                <m:rPr>
                  <m:sty m:val="p"/>
                </m:rPr>
                <w:rPr>
                  <w:rFonts w:ascii="Cambria Math" w:hAnsi="Cambria Math"/>
                </w:rPr>
                <m:t xml:space="preserve">10 500</m:t>
              </m:r>
            </m:num>
            <m:den>
              <m:r>
                <m:rPr>
                  <m:sty m:val="p"/>
                </m:rPr>
                <w:rPr>
                  <w:rFonts w:ascii="Cambria Math" w:hAnsi="Cambria Math"/>
                </w:rPr>
                <m:t xml:space="preserve">16 822</m:t>
              </m:r>
            </m:den>
          </m:f>
          <m:r>
            <m:rPr>
              <m:sty m:val="p"/>
            </m:rPr>
            <w:rPr>
              <w:rFonts w:ascii="Cambria Math" w:hAnsi="Cambria Math"/>
            </w:rPr>
            <m:t xml:space="preserve"> = 62,42 %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Coefficient d'exploitation = </m:t>
          </m:r>
          <m:f>
            <m:num>
              <m:r>
                <m:rPr>
                  <m:sty m:val="p"/>
                </m:rPr>
                <w:rPr>
                  <w:rFonts w:ascii="Cambria Math" w:hAnsi="Cambria Math"/>
                </w:rPr>
                <m:t xml:space="preserve">10 900</m:t>
              </m:r>
            </m:num>
            <m:den>
              <m:r>
                <m:rPr>
                  <m:sty m:val="p"/>
                </m:rPr>
                <w:rPr>
                  <w:rFonts w:ascii="Cambria Math" w:hAnsi="Cambria Math"/>
                </w:rPr>
                <m:t xml:space="preserve">17 469</m:t>
              </m:r>
            </m:den>
          </m:f>
          <m:r>
            <m:rPr>
              <m:sty m:val="p"/>
            </m:rPr>
            <w:rPr>
              <w:rFonts w:ascii="Cambria Math" w:hAnsi="Cambria Math"/>
            </w:rPr>
            <m:t xml:space="preserve"> = 62,40 %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Coefficient d'exploitation = </m:t>
          </m:r>
          <m:f>
            <m:num>
              <m:r>
                <m:rPr>
                  <m:sty m:val="p"/>
                </m:rPr>
                <w:rPr>
                  <w:rFonts w:ascii="Cambria Math" w:hAnsi="Cambria Math"/>
                </w:rPr>
                <m:t xml:space="preserve">11 500</m:t>
              </m:r>
            </m:num>
            <m:den>
              <m:r>
                <m:rPr>
                  <m:sty m:val="p"/>
                </m:rPr>
                <w:rPr>
                  <w:rFonts w:ascii="Cambria Math" w:hAnsi="Cambria Math"/>
                </w:rPr>
                <m:t xml:space="preserve">19 620</m:t>
              </m:r>
            </m:den>
          </m:f>
          <m:r>
            <m:rPr>
              <m:sty m:val="p"/>
            </m:rPr>
            <w:rPr>
              <w:rFonts w:ascii="Cambria Math" w:hAnsi="Cambria Math"/>
            </w:rPr>
            <m:t xml:space="preserve"> = 58,61 %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62,42 %</w:t>
            </w:r>
          </w:p>
        </w:tc>
        <w:tc>
          <w:tcPr>
            <w:tcW w:w="2506" w:type="dxa"/>
          </w:tcPr>
          <w:p>
            <w:pPr>
              <w:spacing w:after="0"/>
              <w:jc w:val="right"/>
            </w:pPr>
            <w:r>
              <w:rPr>
                <w:sz w:val="18"/>
                <w:szCs w:val="18"/>
              </w:rPr>
              <w:t xml:space="preserve">62,40 %</w:t>
            </w:r>
          </w:p>
        </w:tc>
        <w:tc>
          <w:tcPr>
            <w:tcW w:w="2506" w:type="dxa"/>
          </w:tcPr>
          <w:p>
            <w:pPr>
              <w:spacing w:after="0"/>
              <w:jc w:val="right"/>
            </w:pPr>
            <w:r>
              <w:rPr>
                <w:sz w:val="18"/>
                <w:szCs w:val="18"/>
              </w:rPr>
              <w:t xml:space="preserve">58,61 %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B3302A"/>
                <w:sz w:val="18"/>
                <w:szCs w:val="18"/>
              </w:rPr>
              <w:t xml:space="preserve">✕ Hors repère</w:t>
            </w:r>
          </w:p>
        </w:tc>
        <w:tc>
          <w:tcPr>
            <w:tcW w:w="2506" w:type="dxa"/>
          </w:tcPr>
          <w:p>
            <w:pPr>
              <w:spacing w:after="0"/>
              <w:jc w:val="right"/>
            </w:pPr>
            <w:r>
              <w:rPr>
                <w:color w:val="B3302A"/>
                <w:sz w:val="18"/>
                <w:szCs w:val="18"/>
              </w:rPr>
              <w:t xml:space="preserve">✕ Hors repère</w:t>
            </w:r>
          </w:p>
        </w:tc>
        <w:tc>
          <w:tcPr>
            <w:tcW w:w="2506" w:type="dxa"/>
          </w:tcPr>
          <w:p>
            <w:pPr>
              <w:spacing w:after="0"/>
              <w:jc w:val="right"/>
            </w:pPr>
            <w:r>
              <w:rPr>
                <w:color w:val="8F5500"/>
                <w:sz w:val="18"/>
                <w:szCs w:val="18"/>
              </w:rPr>
              <w:t xml:space="preserve">! Marge faible</w:t>
            </w:r>
          </w:p>
        </w:tc>
      </w:tr>
    </w:tbl>
    <w:p>
      <w:pPr>
        <w:spacing w:after="60"/>
      </w:pPr>
    </w:p>
    <w:p>
      <w:pPr>
        <w:keepNext/>
        <w:spacing w:after="0"/>
      </w:pPr>
      <w:r>
        <w:drawing>
          <wp:inline distT="0" distB="0" distL="0" distR="0">
            <wp:extent cx="5400000" cy="2227500"/>
            <wp:docPr id="14" name="Graphiqu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que14.png"/>
                    <pic:cNvPicPr/>
                  </pic:nvPicPr>
                  <pic:blipFill>
                    <a:blip r:embed="rIdImg14"/>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14 – Coefficient d'exploitation par exercice</w:t>
      </w:r>
    </w:p>
    <w:p>
      <w:r>
        <w:t xml:space="preserve">Passe de </w:t>
      </w:r>
      <w:r>
        <w:rPr>
          <w:b/>
        </w:rPr>
        <w:t xml:space="preserve">62,42 %</w:t>
      </w:r>
      <w:r>
        <w:t xml:space="preserve"> en 2021 à </w:t>
      </w:r>
      <w:r>
        <w:rPr>
          <w:b/>
        </w:rPr>
        <w:t xml:space="preserve">58,61 %</w:t>
      </w:r>
      <w:r>
        <w:t xml:space="preserve"> en 2023 (−3,80 pt), baisse continue sur la période. La banque gagne en efficacité opérationnelle. Sous le plafond de 60,0 % mais proche de celui-ci.</w:t>
      </w:r>
    </w:p>
    <w:p>
      <w:pPr>
        <w:pStyle w:val="Heading3"/>
        <w:keepNext/>
      </w:pPr>
      <w:r>
        <w:t xml:space="preserve">Coût du risque / crédits</w:t>
      </w:r>
    </w:p>
    <w:p>
      <w:pPr>
        <w:spacing w:after="60"/>
      </w:pPr>
      <w:r>
        <w:rPr>
          <w:i/>
          <w:color w:val="6B7770"/>
          <w:sz w:val="17"/>
          <w:szCs w:val="17"/>
        </w:rPr>
        <w:t xml:space="preserve">Indicateur d'analyse · seuil ≤ 2,0 % (repère)</w:t>
      </w:r>
    </w:p>
    <w:p>
      <w:r>
        <w:rPr>
          <w:sz w:val="19"/>
          <w:szCs w:val="19"/>
        </w:rPr>
        <w:t xml:space="preserve">Dotations nettes aux provisions pour créances douteuses rapportées à l’encours de crédits. Mesure la qualité du portefeuille.</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Coût du risque / crédits = </m:t>
          </m:r>
          <m:f>
            <m:num>
              <m:r>
                <m:rPr>
                  <m:sty m:val="p"/>
                </m:rPr>
                <w:rPr>
                  <w:rFonts w:ascii="Cambria Math" w:hAnsi="Cambria Math"/>
                </w:rPr>
                <m:t xml:space="preserve">Coût du risque</m:t>
              </m:r>
            </m:num>
            <m:den>
              <m:r>
                <m:rPr>
                  <m:sty m:val="p"/>
                </m:rPr>
                <w:rPr>
                  <w:rFonts w:ascii="Cambria Math" w:hAnsi="Cambria Math"/>
                </w:rPr>
                <m:t xml:space="preserve">Créances clientèle</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Coût du risque / crédits = </m:t>
          </m:r>
          <m:f>
            <m:num>
              <m:r>
                <m:rPr>
                  <m:sty m:val="p"/>
                </m:rPr>
                <w:rPr>
                  <w:rFonts w:ascii="Cambria Math" w:hAnsi="Cambria Math"/>
                </w:rPr>
                <m:t xml:space="preserve">1 200</m:t>
              </m:r>
            </m:num>
            <m:den>
              <m:r>
                <m:rPr>
                  <m:sty m:val="p"/>
                </m:rPr>
                <w:rPr>
                  <w:rFonts w:ascii="Cambria Math" w:hAnsi="Cambria Math"/>
                </w:rPr>
                <m:t xml:space="preserve">131 072</m:t>
              </m:r>
            </m:den>
          </m:f>
          <m:r>
            <m:rPr>
              <m:sty m:val="p"/>
            </m:rPr>
            <w:rPr>
              <w:rFonts w:ascii="Cambria Math" w:hAnsi="Cambria Math"/>
            </w:rPr>
            <m:t xml:space="preserve"> = 0,92 %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Coût du risque / crédits = </m:t>
          </m:r>
          <m:f>
            <m:num>
              <m:r>
                <m:rPr>
                  <m:sty m:val="p"/>
                </m:rPr>
                <w:rPr>
                  <w:rFonts w:ascii="Cambria Math" w:hAnsi="Cambria Math"/>
                </w:rPr>
                <m:t xml:space="preserve">900</m:t>
              </m:r>
            </m:num>
            <m:den>
              <m:r>
                <m:rPr>
                  <m:sty m:val="p"/>
                </m:rPr>
                <w:rPr>
                  <w:rFonts w:ascii="Cambria Math" w:hAnsi="Cambria Math"/>
                </w:rPr>
                <m:t xml:space="preserve">130 602</m:t>
              </m:r>
            </m:den>
          </m:f>
          <m:r>
            <m:rPr>
              <m:sty m:val="p"/>
            </m:rPr>
            <w:rPr>
              <w:rFonts w:ascii="Cambria Math" w:hAnsi="Cambria Math"/>
            </w:rPr>
            <m:t xml:space="preserve"> = 0,69 %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Coût du risque / crédits = </m:t>
          </m:r>
          <m:f>
            <m:num>
              <m:r>
                <m:rPr>
                  <m:sty m:val="p"/>
                </m:rPr>
                <w:rPr>
                  <w:rFonts w:ascii="Cambria Math" w:hAnsi="Cambria Math"/>
                </w:rPr>
                <m:t xml:space="preserve">2 100</m:t>
              </m:r>
            </m:num>
            <m:den>
              <m:r>
                <m:rPr>
                  <m:sty m:val="p"/>
                </m:rPr>
                <w:rPr>
                  <w:rFonts w:ascii="Cambria Math" w:hAnsi="Cambria Math"/>
                </w:rPr>
                <m:t xml:space="preserve">150 766</m:t>
              </m:r>
            </m:den>
          </m:f>
          <m:r>
            <m:rPr>
              <m:sty m:val="p"/>
            </m:rPr>
            <w:rPr>
              <w:rFonts w:ascii="Cambria Math" w:hAnsi="Cambria Math"/>
            </w:rPr>
            <m:t xml:space="preserve"> = 1,39 %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0,92 %</w:t>
            </w:r>
          </w:p>
        </w:tc>
        <w:tc>
          <w:tcPr>
            <w:tcW w:w="2506" w:type="dxa"/>
          </w:tcPr>
          <w:p>
            <w:pPr>
              <w:spacing w:after="0"/>
              <w:jc w:val="right"/>
            </w:pPr>
            <w:r>
              <w:rPr>
                <w:sz w:val="18"/>
                <w:szCs w:val="18"/>
              </w:rPr>
              <w:t xml:space="preserve">0,69 %</w:t>
            </w:r>
          </w:p>
        </w:tc>
        <w:tc>
          <w:tcPr>
            <w:tcW w:w="2506" w:type="dxa"/>
          </w:tcPr>
          <w:p>
            <w:pPr>
              <w:spacing w:after="0"/>
              <w:jc w:val="right"/>
            </w:pPr>
            <w:r>
              <w:rPr>
                <w:sz w:val="18"/>
                <w:szCs w:val="18"/>
              </w:rPr>
              <w:t xml:space="preserve">1,39 %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c>
          <w:tcPr>
            <w:tcW w:w="2506" w:type="dxa"/>
          </w:tcPr>
          <w:p>
            <w:pPr>
              <w:spacing w:after="0"/>
              <w:jc w:val="right"/>
            </w:pPr>
            <w:r>
              <w:rPr>
                <w:color w:val="1A7642"/>
                <w:sz w:val="18"/>
                <w:szCs w:val="18"/>
              </w:rPr>
              <w:t xml:space="preserve">✓ Dans le repère</w:t>
            </w:r>
          </w:p>
        </w:tc>
      </w:tr>
    </w:tbl>
    <w:p>
      <w:pPr>
        <w:spacing w:after="60"/>
      </w:pPr>
    </w:p>
    <w:p>
      <w:pPr>
        <w:keepNext/>
        <w:spacing w:after="0"/>
      </w:pPr>
      <w:r>
        <w:drawing>
          <wp:inline distT="0" distB="0" distL="0" distR="0">
            <wp:extent cx="5400000" cy="2227500"/>
            <wp:docPr id="15" name="Graphiqu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15.png"/>
                    <pic:cNvPicPr/>
                  </pic:nvPicPr>
                  <pic:blipFill>
                    <a:blip r:embed="rIdImg15"/>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15 – Coût du risque / crédits par exercice</w:t>
      </w:r>
    </w:p>
    <w:p>
      <w:r>
        <w:t xml:space="preserve">Passe de </w:t>
      </w:r>
      <w:r>
        <w:rPr>
          <w:b/>
        </w:rPr>
        <w:t xml:space="preserve">0,92 %</w:t>
      </w:r>
      <w:r>
        <w:t xml:space="preserve"> en 2021 à </w:t>
      </w:r>
      <w:r>
        <w:rPr>
          <w:b/>
        </w:rPr>
        <w:t xml:space="preserve">1,39 %</w:t>
      </w:r>
      <w:r>
        <w:t xml:space="preserve"> en 2023 (+0,48 pt), avec une baisse en 2022 puis une hausse en 2023. Le risque de crédit se matérialise davantage. Nettement sous le plafond de 2,0 %.</w:t>
      </w:r>
    </w:p>
    <w:p>
      <w:pPr>
        <w:pStyle w:val="Heading3"/>
        <w:keepNext/>
      </w:pPr>
      <w:r>
        <w:t xml:space="preserve">Marge nette</w:t>
      </w:r>
    </w:p>
    <w:p>
      <w:pPr>
        <w:spacing w:after="60"/>
      </w:pPr>
      <w:r>
        <w:rPr>
          <w:i/>
          <w:color w:val="6B7770"/>
          <w:sz w:val="17"/>
          <w:szCs w:val="17"/>
        </w:rPr>
        <w:t xml:space="preserve">Indicateur d'analyse</w:t>
      </w:r>
    </w:p>
    <w:p>
      <w:r>
        <w:rPr>
          <w:sz w:val="19"/>
          <w:szCs w:val="19"/>
        </w:rPr>
        <w:t xml:space="preserve">Part du PNB qui reste en résultat net après charges, coût du risque et impôt.</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Marge nette = </m:t>
          </m:r>
          <m:f>
            <m:num>
              <m:r>
                <m:rPr>
                  <m:sty m:val="p"/>
                </m:rPr>
                <w:rPr>
                  <w:rFonts w:ascii="Cambria Math" w:hAnsi="Cambria Math"/>
                </w:rPr>
                <m:t xml:space="preserve">Résultat net</m:t>
              </m:r>
            </m:num>
            <m:den>
              <m:r>
                <m:rPr>
                  <m:sty m:val="p"/>
                </m:rPr>
                <w:rPr>
                  <w:rFonts w:ascii="Cambria Math" w:hAnsi="Cambria Math"/>
                </w:rPr>
                <m:t xml:space="preserve">PNB</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Marge nette = </m:t>
          </m:r>
          <m:f>
            <m:num>
              <m:r>
                <m:rPr>
                  <m:sty m:val="p"/>
                </m:rPr>
                <w:rPr>
                  <w:rFonts w:ascii="Cambria Math" w:hAnsi="Cambria Math"/>
                </w:rPr>
                <m:t xml:space="preserve">3 112</m:t>
              </m:r>
            </m:num>
            <m:den>
              <m:r>
                <m:rPr>
                  <m:sty m:val="p"/>
                </m:rPr>
                <w:rPr>
                  <w:rFonts w:ascii="Cambria Math" w:hAnsi="Cambria Math"/>
                </w:rPr>
                <m:t xml:space="preserve">16 822</m:t>
              </m:r>
            </m:den>
          </m:f>
          <m:r>
            <m:rPr>
              <m:sty m:val="p"/>
            </m:rPr>
            <w:rPr>
              <w:rFonts w:ascii="Cambria Math" w:hAnsi="Cambria Math"/>
            </w:rPr>
            <m:t xml:space="preserve"> = 18,50 %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Marge nette = </m:t>
          </m:r>
          <m:f>
            <m:num>
              <m:r>
                <m:rPr>
                  <m:sty m:val="p"/>
                </m:rPr>
                <w:rPr>
                  <w:rFonts w:ascii="Cambria Math" w:hAnsi="Cambria Math"/>
                </w:rPr>
                <m:t xml:space="preserve">3 595</m:t>
              </m:r>
            </m:num>
            <m:den>
              <m:r>
                <m:rPr>
                  <m:sty m:val="p"/>
                </m:rPr>
                <w:rPr>
                  <w:rFonts w:ascii="Cambria Math" w:hAnsi="Cambria Math"/>
                </w:rPr>
                <m:t xml:space="preserve">17 469</m:t>
              </m:r>
            </m:den>
          </m:f>
          <m:r>
            <m:rPr>
              <m:sty m:val="p"/>
            </m:rPr>
            <w:rPr>
              <w:rFonts w:ascii="Cambria Math" w:hAnsi="Cambria Math"/>
            </w:rPr>
            <m:t xml:space="preserve"> = 20,58 %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Marge nette = </m:t>
          </m:r>
          <m:f>
            <m:num>
              <m:r>
                <m:rPr>
                  <m:sty m:val="p"/>
                </m:rPr>
                <w:rPr>
                  <w:rFonts w:ascii="Cambria Math" w:hAnsi="Cambria Math"/>
                </w:rPr>
                <m:t xml:space="preserve">2 908</m:t>
              </m:r>
            </m:num>
            <m:den>
              <m:r>
                <m:rPr>
                  <m:sty m:val="p"/>
                </m:rPr>
                <w:rPr>
                  <w:rFonts w:ascii="Cambria Math" w:hAnsi="Cambria Math"/>
                </w:rPr>
                <m:t xml:space="preserve">19 620</m:t>
              </m:r>
            </m:den>
          </m:f>
          <m:r>
            <m:rPr>
              <m:sty m:val="p"/>
            </m:rPr>
            <w:rPr>
              <w:rFonts w:ascii="Cambria Math" w:hAnsi="Cambria Math"/>
            </w:rPr>
            <m:t xml:space="preserve"> = 14,82 %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18,50 %</w:t>
            </w:r>
          </w:p>
        </w:tc>
        <w:tc>
          <w:tcPr>
            <w:tcW w:w="2506" w:type="dxa"/>
          </w:tcPr>
          <w:p>
            <w:pPr>
              <w:spacing w:after="0"/>
              <w:jc w:val="right"/>
            </w:pPr>
            <w:r>
              <w:rPr>
                <w:sz w:val="18"/>
                <w:szCs w:val="18"/>
              </w:rPr>
              <w:t xml:space="preserve">20,58 %</w:t>
            </w:r>
          </w:p>
        </w:tc>
        <w:tc>
          <w:tcPr>
            <w:tcW w:w="2506" w:type="dxa"/>
          </w:tcPr>
          <w:p>
            <w:pPr>
              <w:spacing w:after="0"/>
              <w:jc w:val="right"/>
            </w:pPr>
            <w:r>
              <w:rPr>
                <w:sz w:val="18"/>
                <w:szCs w:val="18"/>
              </w:rPr>
              <w:t xml:space="preserve">14,82 %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que16.png"/>
                    <pic:cNvPicPr/>
                  </pic:nvPicPr>
                  <pic:blipFill>
                    <a:blip r:embed="rIdImg16"/>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16 – Marge nette par exercice</w:t>
      </w:r>
    </w:p>
    <w:p>
      <w:r>
        <w:t xml:space="preserve">Passe de </w:t>
      </w:r>
      <w:r>
        <w:rPr>
          <w:b/>
        </w:rPr>
        <w:t xml:space="preserve">18,50 %</w:t>
      </w:r>
      <w:r>
        <w:t xml:space="preserve"> en 2021 à </w:t>
      </w:r>
      <w:r>
        <w:rPr>
          <w:b/>
        </w:rPr>
        <w:t xml:space="preserve">14,82 %</w:t>
      </w:r>
      <w:r>
        <w:t xml:space="preserve"> en 2023 (−3,68 pt), avec une hausse en 2022 puis une baisse en 2023. Une part décroissante du PNB se transforme en bénéfice.</w:t>
      </w:r>
    </w:p>
    <w:p>
      <w:pPr>
        <w:pStyle w:val="Heading3"/>
        <w:keepNext/>
      </w:pPr>
      <w:r>
        <w:t xml:space="preserve">Marge d'intérêts / PNB</w:t>
      </w:r>
    </w:p>
    <w:p>
      <w:pPr>
        <w:spacing w:after="60"/>
      </w:pPr>
      <w:r>
        <w:rPr>
          <w:i/>
          <w:color w:val="6B7770"/>
          <w:sz w:val="17"/>
          <w:szCs w:val="17"/>
        </w:rPr>
        <w:t xml:space="preserve">Indicateur d'analyse</w:t>
      </w:r>
    </w:p>
    <w:p>
      <w:r>
        <w:rPr>
          <w:sz w:val="19"/>
          <w:szCs w:val="19"/>
        </w:rPr>
        <w:t xml:space="preserve">Part du PNB provenant de l’activité d’intermédiation (crédits − dépôts).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Marge d'intérêts / PNB = </m:t>
          </m:r>
          <m:f>
            <m:num>
              <m:r>
                <m:rPr>
                  <m:sty m:val="p"/>
                </m:rPr>
                <w:rPr>
                  <w:rFonts w:ascii="Cambria Math" w:hAnsi="Cambria Math"/>
                </w:rPr>
                <m:t xml:space="preserve">Marge d'intérêts</m:t>
              </m:r>
            </m:num>
            <m:den>
              <m:r>
                <m:rPr>
                  <m:sty m:val="p"/>
                </m:rPr>
                <w:rPr>
                  <w:rFonts w:ascii="Cambria Math" w:hAnsi="Cambria Math"/>
                </w:rPr>
                <m:t xml:space="preserve">PNB</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Marge d'intérêts / PNB = </m:t>
          </m:r>
          <m:f>
            <m:num>
              <m:r>
                <m:rPr>
                  <m:sty m:val="p"/>
                </m:rPr>
                <w:rPr>
                  <w:rFonts w:ascii="Cambria Math" w:hAnsi="Cambria Math"/>
                </w:rPr>
                <m:t xml:space="preserve">12 000</m:t>
              </m:r>
            </m:num>
            <m:den>
              <m:r>
                <m:rPr>
                  <m:sty m:val="p"/>
                </m:rPr>
                <w:rPr>
                  <w:rFonts w:ascii="Cambria Math" w:hAnsi="Cambria Math"/>
                </w:rPr>
                <m:t xml:space="preserve">16 822</m:t>
              </m:r>
            </m:den>
          </m:f>
          <m:r>
            <m:rPr>
              <m:sty m:val="p"/>
            </m:rPr>
            <w:rPr>
              <w:rFonts w:ascii="Cambria Math" w:hAnsi="Cambria Math"/>
            </w:rPr>
            <m:t xml:space="preserve"> = 71,34 %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Marge d'intérêts / PNB = </m:t>
          </m:r>
          <m:f>
            <m:num>
              <m:r>
                <m:rPr>
                  <m:sty m:val="p"/>
                </m:rPr>
                <w:rPr>
                  <w:rFonts w:ascii="Cambria Math" w:hAnsi="Cambria Math"/>
                </w:rPr>
                <m:t xml:space="preserve">12 800</m:t>
              </m:r>
            </m:num>
            <m:den>
              <m:r>
                <m:rPr>
                  <m:sty m:val="p"/>
                </m:rPr>
                <w:rPr>
                  <w:rFonts w:ascii="Cambria Math" w:hAnsi="Cambria Math"/>
                </w:rPr>
                <m:t xml:space="preserve">17 469</m:t>
              </m:r>
            </m:den>
          </m:f>
          <m:r>
            <m:rPr>
              <m:sty m:val="p"/>
            </m:rPr>
            <w:rPr>
              <w:rFonts w:ascii="Cambria Math" w:hAnsi="Cambria Math"/>
            </w:rPr>
            <m:t xml:space="preserve"> = 73,27 %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Marge d'intérêts / PNB = </m:t>
          </m:r>
          <m:f>
            <m:num>
              <m:r>
                <m:rPr>
                  <m:sty m:val="p"/>
                </m:rPr>
                <w:rPr>
                  <w:rFonts w:ascii="Cambria Math" w:hAnsi="Cambria Math"/>
                </w:rPr>
                <m:t xml:space="preserve">14 000</m:t>
              </m:r>
            </m:num>
            <m:den>
              <m:r>
                <m:rPr>
                  <m:sty m:val="p"/>
                </m:rPr>
                <w:rPr>
                  <w:rFonts w:ascii="Cambria Math" w:hAnsi="Cambria Math"/>
                </w:rPr>
                <m:t xml:space="preserve">19 620</m:t>
              </m:r>
            </m:den>
          </m:f>
          <m:r>
            <m:rPr>
              <m:sty m:val="p"/>
            </m:rPr>
            <w:rPr>
              <w:rFonts w:ascii="Cambria Math" w:hAnsi="Cambria Math"/>
            </w:rPr>
            <m:t xml:space="preserve"> = 71,36 %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71,34 %</w:t>
            </w:r>
          </w:p>
        </w:tc>
        <w:tc>
          <w:tcPr>
            <w:tcW w:w="2506" w:type="dxa"/>
          </w:tcPr>
          <w:p>
            <w:pPr>
              <w:spacing w:after="0"/>
              <w:jc w:val="right"/>
            </w:pPr>
            <w:r>
              <w:rPr>
                <w:sz w:val="18"/>
                <w:szCs w:val="18"/>
              </w:rPr>
              <w:t xml:space="preserve">73,27 %</w:t>
            </w:r>
          </w:p>
        </w:tc>
        <w:tc>
          <w:tcPr>
            <w:tcW w:w="2506" w:type="dxa"/>
          </w:tcPr>
          <w:p>
            <w:pPr>
              <w:spacing w:after="0"/>
              <w:jc w:val="right"/>
            </w:pPr>
            <w:r>
              <w:rPr>
                <w:sz w:val="18"/>
                <w:szCs w:val="18"/>
              </w:rPr>
              <w:t xml:space="preserve">71,36 %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17" name="Graphiqu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que17.png"/>
                    <pic:cNvPicPr/>
                  </pic:nvPicPr>
                  <pic:blipFill>
                    <a:blip r:embed="rIdImg17"/>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17 – Marge d'intérêts / PNB par exercice</w:t>
      </w:r>
    </w:p>
    <w:p>
      <w:r>
        <w:t xml:space="preserve">Passe de </w:t>
      </w:r>
      <w:r>
        <w:rPr>
          <w:b/>
        </w:rPr>
        <w:t xml:space="preserve">71,34 %</w:t>
      </w:r>
      <w:r>
        <w:t xml:space="preserve"> en 2021 à </w:t>
      </w:r>
      <w:r>
        <w:rPr>
          <w:b/>
        </w:rPr>
        <w:t xml:space="preserve">71,36 %</w:t>
      </w:r>
      <w:r>
        <w:t xml:space="preserve"> en 2023 (+0,02 pt), avec une hausse en 2022 puis une baisse en 2023.</w:t>
      </w:r>
    </w:p>
    <w:p>
      <w:pPr>
        <w:pStyle w:val="Heading3"/>
        <w:keepNext/>
      </w:pPr>
      <w:r>
        <w:t xml:space="preserve">Commissions nettes / PNB</w:t>
      </w:r>
    </w:p>
    <w:p>
      <w:pPr>
        <w:spacing w:after="60"/>
      </w:pPr>
      <w:r>
        <w:rPr>
          <w:i/>
          <w:color w:val="6B7770"/>
          <w:sz w:val="17"/>
          <w:szCs w:val="17"/>
        </w:rPr>
        <w:t xml:space="preserve">Indicateur d'analyse</w:t>
      </w:r>
    </w:p>
    <w:p>
      <w:r>
        <w:rPr>
          <w:sz w:val="19"/>
          <w:szCs w:val="19"/>
        </w:rPr>
        <w:t xml:space="preserve">Part du PNB provenant des services facturés (tenue de compte, transferts, monétique, garanties).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Commissions nettes / PNB = </m:t>
          </m:r>
          <m:f>
            <m:num>
              <m:r>
                <m:rPr>
                  <m:sty m:val="p"/>
                </m:rPr>
                <w:rPr>
                  <w:rFonts w:ascii="Cambria Math" w:hAnsi="Cambria Math"/>
                </w:rPr>
                <m:t xml:space="preserve">Commissions nettes</m:t>
              </m:r>
            </m:num>
            <m:den>
              <m:r>
                <m:rPr>
                  <m:sty m:val="p"/>
                </m:rPr>
                <w:rPr>
                  <w:rFonts w:ascii="Cambria Math" w:hAnsi="Cambria Math"/>
                </w:rPr>
                <m:t xml:space="preserve">PNB</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Commissions nettes / PNB = </m:t>
          </m:r>
          <m:f>
            <m:num>
              <m:r>
                <m:rPr>
                  <m:sty m:val="p"/>
                </m:rPr>
                <w:rPr>
                  <w:rFonts w:ascii="Cambria Math" w:hAnsi="Cambria Math"/>
                </w:rPr>
                <m:t xml:space="preserve">4 322</m:t>
              </m:r>
            </m:num>
            <m:den>
              <m:r>
                <m:rPr>
                  <m:sty m:val="p"/>
                </m:rPr>
                <w:rPr>
                  <w:rFonts w:ascii="Cambria Math" w:hAnsi="Cambria Math"/>
                </w:rPr>
                <m:t xml:space="preserve">16 822</m:t>
              </m:r>
            </m:den>
          </m:f>
          <m:r>
            <m:rPr>
              <m:sty m:val="p"/>
            </m:rPr>
            <w:rPr>
              <w:rFonts w:ascii="Cambria Math" w:hAnsi="Cambria Math"/>
            </w:rPr>
            <m:t xml:space="preserve"> = 25,69 %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Commissions nettes / PNB = </m:t>
          </m:r>
          <m:f>
            <m:num>
              <m:r>
                <m:rPr>
                  <m:sty m:val="p"/>
                </m:rPr>
                <w:rPr>
                  <w:rFonts w:ascii="Cambria Math" w:hAnsi="Cambria Math"/>
                </w:rPr>
                <m:t xml:space="preserve">4 369</m:t>
              </m:r>
            </m:num>
            <m:den>
              <m:r>
                <m:rPr>
                  <m:sty m:val="p"/>
                </m:rPr>
                <w:rPr>
                  <w:rFonts w:ascii="Cambria Math" w:hAnsi="Cambria Math"/>
                </w:rPr>
                <m:t xml:space="preserve">17 469</m:t>
              </m:r>
            </m:den>
          </m:f>
          <m:r>
            <m:rPr>
              <m:sty m:val="p"/>
            </m:rPr>
            <w:rPr>
              <w:rFonts w:ascii="Cambria Math" w:hAnsi="Cambria Math"/>
            </w:rPr>
            <m:t xml:space="preserve"> = 25,01 %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Commissions nettes / PNB = </m:t>
          </m:r>
          <m:f>
            <m:num>
              <m:r>
                <m:rPr>
                  <m:sty m:val="p"/>
                </m:rPr>
                <w:rPr>
                  <w:rFonts w:ascii="Cambria Math" w:hAnsi="Cambria Math"/>
                </w:rPr>
                <m:t xml:space="preserve">4 970</m:t>
              </m:r>
            </m:num>
            <m:den>
              <m:r>
                <m:rPr>
                  <m:sty m:val="p"/>
                </m:rPr>
                <w:rPr>
                  <w:rFonts w:ascii="Cambria Math" w:hAnsi="Cambria Math"/>
                </w:rPr>
                <m:t xml:space="preserve">19 620</m:t>
              </m:r>
            </m:den>
          </m:f>
          <m:r>
            <m:rPr>
              <m:sty m:val="p"/>
            </m:rPr>
            <w:rPr>
              <w:rFonts w:ascii="Cambria Math" w:hAnsi="Cambria Math"/>
            </w:rPr>
            <m:t xml:space="preserve"> = 25,33 %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25,69 %</w:t>
            </w:r>
          </w:p>
        </w:tc>
        <w:tc>
          <w:tcPr>
            <w:tcW w:w="2506" w:type="dxa"/>
          </w:tcPr>
          <w:p>
            <w:pPr>
              <w:spacing w:after="0"/>
              <w:jc w:val="right"/>
            </w:pPr>
            <w:r>
              <w:rPr>
                <w:sz w:val="18"/>
                <w:szCs w:val="18"/>
              </w:rPr>
              <w:t xml:space="preserve">25,01 %</w:t>
            </w:r>
          </w:p>
        </w:tc>
        <w:tc>
          <w:tcPr>
            <w:tcW w:w="2506" w:type="dxa"/>
          </w:tcPr>
          <w:p>
            <w:pPr>
              <w:spacing w:after="0"/>
              <w:jc w:val="right"/>
            </w:pPr>
            <w:r>
              <w:rPr>
                <w:sz w:val="18"/>
                <w:szCs w:val="18"/>
              </w:rPr>
              <w:t xml:space="preserve">25,33 %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18" name="Graphiqu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que18.png"/>
                    <pic:cNvPicPr/>
                  </pic:nvPicPr>
                  <pic:blipFill>
                    <a:blip r:embed="rIdImg18"/>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18 – Commissions nettes / PNB par exercice</w:t>
      </w:r>
    </w:p>
    <w:p>
      <w:r>
        <w:t xml:space="preserve">Passe de </w:t>
      </w:r>
      <w:r>
        <w:rPr>
          <w:b/>
        </w:rPr>
        <w:t xml:space="preserve">25,69 %</w:t>
      </w:r>
      <w:r>
        <w:t xml:space="preserve"> en 2021 à </w:t>
      </w:r>
      <w:r>
        <w:rPr>
          <w:b/>
        </w:rPr>
        <w:t xml:space="preserve">25,33 %</w:t>
      </w:r>
      <w:r>
        <w:t xml:space="preserve"> en 2023 (−0,36 pt), avec une baisse en 2022 puis une hausse en 2023.</w:t>
      </w:r>
    </w:p>
    <w:p>
      <w:pPr>
        <w:pStyle w:val="Heading3"/>
        <w:keepNext/>
      </w:pPr>
      <w:r>
        <w:t xml:space="preserve">PNB / Total actif</w:t>
      </w:r>
    </w:p>
    <w:p>
      <w:pPr>
        <w:spacing w:after="60"/>
      </w:pPr>
      <w:r>
        <w:rPr>
          <w:i/>
          <w:color w:val="6B7770"/>
          <w:sz w:val="17"/>
          <w:szCs w:val="17"/>
        </w:rPr>
        <w:t xml:space="preserve">Indicateur d'analyse</w:t>
      </w:r>
    </w:p>
    <w:p>
      <w:r>
        <w:rPr>
          <w:sz w:val="19"/>
          <w:szCs w:val="19"/>
        </w:rPr>
        <w:t xml:space="preserve">Rendement brut des actifs : revenu bancaire généré par franc d’actif.</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PNB / Total actif = </m:t>
          </m:r>
          <m:f>
            <m:num>
              <m:r>
                <m:rPr>
                  <m:sty m:val="p"/>
                </m:rPr>
                <w:rPr>
                  <w:rFonts w:ascii="Cambria Math" w:hAnsi="Cambria Math"/>
                </w:rPr>
                <m:t xml:space="preserve">PNB</m:t>
              </m:r>
            </m:num>
            <m:den>
              <m:r>
                <m:rPr>
                  <m:sty m:val="p"/>
                </m:rPr>
                <w:rPr>
                  <w:rFonts w:ascii="Cambria Math" w:hAnsi="Cambria Math"/>
                </w:rPr>
                <m:t xml:space="preserve">Total actif</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PNB / Total actif = </m:t>
          </m:r>
          <m:f>
            <m:num>
              <m:r>
                <m:rPr>
                  <m:sty m:val="p"/>
                </m:rPr>
                <w:rPr>
                  <w:rFonts w:ascii="Cambria Math" w:hAnsi="Cambria Math"/>
                </w:rPr>
                <m:t xml:space="preserve">16 822</m:t>
              </m:r>
            </m:num>
            <m:den>
              <m:r>
                <m:rPr>
                  <m:sty m:val="p"/>
                </m:rPr>
                <w:rPr>
                  <w:rFonts w:ascii="Cambria Math" w:hAnsi="Cambria Math"/>
                </w:rPr>
                <m:t xml:space="preserve">301 931</m:t>
              </m:r>
            </m:den>
          </m:f>
          <m:r>
            <m:rPr>
              <m:sty m:val="p"/>
            </m:rPr>
            <w:rPr>
              <w:rFonts w:ascii="Cambria Math" w:hAnsi="Cambria Math"/>
            </w:rPr>
            <m:t xml:space="preserve"> = 5,57 %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PNB / Total actif = </m:t>
          </m:r>
          <m:f>
            <m:num>
              <m:r>
                <m:rPr>
                  <m:sty m:val="p"/>
                </m:rPr>
                <w:rPr>
                  <w:rFonts w:ascii="Cambria Math" w:hAnsi="Cambria Math"/>
                </w:rPr>
                <m:t xml:space="preserve">17 469</m:t>
              </m:r>
            </m:num>
            <m:den>
              <m:r>
                <m:rPr>
                  <m:sty m:val="p"/>
                </m:rPr>
                <w:rPr>
                  <w:rFonts w:ascii="Cambria Math" w:hAnsi="Cambria Math"/>
                </w:rPr>
                <m:t xml:space="preserve">269 088</m:t>
              </m:r>
            </m:den>
          </m:f>
          <m:r>
            <m:rPr>
              <m:sty m:val="p"/>
            </m:rPr>
            <w:rPr>
              <w:rFonts w:ascii="Cambria Math" w:hAnsi="Cambria Math"/>
            </w:rPr>
            <m:t xml:space="preserve"> = 6,49 %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PNB / Total actif = </m:t>
          </m:r>
          <m:f>
            <m:num>
              <m:r>
                <m:rPr>
                  <m:sty m:val="p"/>
                </m:rPr>
                <w:rPr>
                  <w:rFonts w:ascii="Cambria Math" w:hAnsi="Cambria Math"/>
                </w:rPr>
                <m:t xml:space="preserve">19 620</m:t>
              </m:r>
            </m:num>
            <m:den>
              <m:r>
                <m:rPr>
                  <m:sty m:val="p"/>
                </m:rPr>
                <w:rPr>
                  <w:rFonts w:ascii="Cambria Math" w:hAnsi="Cambria Math"/>
                </w:rPr>
                <m:t xml:space="preserve">295 660</m:t>
              </m:r>
            </m:den>
          </m:f>
          <m:r>
            <m:rPr>
              <m:sty m:val="p"/>
            </m:rPr>
            <w:rPr>
              <w:rFonts w:ascii="Cambria Math" w:hAnsi="Cambria Math"/>
            </w:rPr>
            <m:t xml:space="preserve"> = 6,64 %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5,57 %</w:t>
            </w:r>
          </w:p>
        </w:tc>
        <w:tc>
          <w:tcPr>
            <w:tcW w:w="2506" w:type="dxa"/>
          </w:tcPr>
          <w:p>
            <w:pPr>
              <w:spacing w:after="0"/>
              <w:jc w:val="right"/>
            </w:pPr>
            <w:r>
              <w:rPr>
                <w:sz w:val="18"/>
                <w:szCs w:val="18"/>
              </w:rPr>
              <w:t xml:space="preserve">6,49 %</w:t>
            </w:r>
          </w:p>
        </w:tc>
        <w:tc>
          <w:tcPr>
            <w:tcW w:w="2506" w:type="dxa"/>
          </w:tcPr>
          <w:p>
            <w:pPr>
              <w:spacing w:after="0"/>
              <w:jc w:val="right"/>
            </w:pPr>
            <w:r>
              <w:rPr>
                <w:sz w:val="18"/>
                <w:szCs w:val="18"/>
              </w:rPr>
              <w:t xml:space="preserve">6,64 %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19" name="Graphiqu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que19.png"/>
                    <pic:cNvPicPr/>
                  </pic:nvPicPr>
                  <pic:blipFill>
                    <a:blip r:embed="rIdImg19"/>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19 – PNB / Total actif par exercice</w:t>
      </w:r>
    </w:p>
    <w:p>
      <w:r>
        <w:t xml:space="preserve">Passe de </w:t>
      </w:r>
      <w:r>
        <w:rPr>
          <w:b/>
        </w:rPr>
        <w:t xml:space="preserve">5,57 %</w:t>
      </w:r>
      <w:r>
        <w:t xml:space="preserve"> en 2021 à </w:t>
      </w:r>
      <w:r>
        <w:rPr>
          <w:b/>
        </w:rPr>
        <w:t xml:space="preserve">6,64 %</w:t>
      </w:r>
      <w:r>
        <w:t xml:space="preserve"> en 2023 (+1,06 pt), hausse continue sur la période. Les actifs génèrent plus de revenus.</w:t>
      </w:r>
    </w:p>
    <w:p>
      <w:pPr>
        <w:pStyle w:val="Heading1"/>
        <w:keepNext/>
        <w:pageBreakBefore/>
      </w:pPr>
      <w:r>
        <w:t xml:space="preserve">5. Test de faillite</w:t>
      </w:r>
    </w:p>
    <w:p>
      <w:r>
        <w:t xml:space="preserve">Une banque est en faillite lorsque ses pertes effacent ses capitaux propres. On détermine d’abord la perte critique, puis le niveau de produit net bancaire (PNB) qui la provoque, toutes charges égales par ailleurs. L’impôt est nul en cas de perte.</w:t>
      </w:r>
    </w:p>
    <w:p>
      <w:pPr>
        <w:spacing w:after="80"/>
      </w:pPr>
      <m:oMathPara>
        <m:oMathParaPr>
          <m:jc m:val="left"/>
        </m:oMathParaPr>
        <m:oMath>
          <m:r>
            <m:rPr>
              <m:sty m:val="p"/>
            </m:rPr>
            <w:rPr>
              <w:rFonts w:ascii="Cambria Math" w:hAnsi="Cambria Math"/>
            </w:rPr>
            <m:t xml:space="preserve">RN* = − Capitaux propres</m:t>
          </m:r>
        </m:oMath>
      </m:oMathPara>
    </w:p>
    <w:p>
      <w:pPr>
        <w:spacing w:after="80"/>
      </w:pPr>
      <m:oMathPara>
        <m:oMathParaPr>
          <m:jc m:val="left"/>
        </m:oMathParaPr>
        <m:oMath>
          <m:r>
            <m:rPr>
              <m:sty m:val="p"/>
            </m:rPr>
            <w:rPr>
              <w:rFonts w:ascii="Cambria Math" w:hAnsi="Cambria Math"/>
            </w:rPr>
            <m:t xml:space="preserve">PNB* = − Capitaux propres − Subventions + Charges générales + Dotations + Coût du risque − Gains sur actifs immobilisés</m:t>
          </m:r>
        </m:oMath>
      </m:oMathPara>
    </w:p>
    <w:tbl>
      <w:tblPr>
        <w:tblStyle w:val="Grille"/>
        <w:tblW w:w="5000" w:type="pct"/>
        <w:tblLayout w:type="autofit"/>
      </w:tblPr>
      <w:tblGrid>
        <w:gridCol w:w="3277"/>
        <w:gridCol w:w="2120"/>
        <w:gridCol w:w="2120"/>
        <w:gridCol w:w="2120"/>
      </w:tblGrid>
      <w:tr>
        <w:trPr>
          <w:tblHeader/>
          <w:cantSplit/>
        </w:trPr>
        <w:tc>
          <w:tcPr>
            <w:tcW w:w="3277" w:type="dxa"/>
            <w:shd w:val="clear" w:color="auto" w:fill="E8EDE8"/>
          </w:tcPr>
          <w:p>
            <w:pPr>
              <w:spacing w:after="0"/>
              <w:jc w:val="left"/>
            </w:pPr>
            <w:r>
              <w:rPr>
                <w:b/>
                <w:sz w:val="17"/>
                <w:szCs w:val="17"/>
              </w:rPr>
              <w:t xml:space="preserve">Étape</w:t>
            </w:r>
          </w:p>
        </w:tc>
        <w:tc>
          <w:tcPr>
            <w:tcW w:w="2120" w:type="dxa"/>
            <w:shd w:val="clear" w:color="auto" w:fill="E8EDE8"/>
          </w:tcPr>
          <w:p>
            <w:pPr>
              <w:spacing w:after="0"/>
              <w:jc w:val="right"/>
            </w:pPr>
            <w:r>
              <w:rPr>
                <w:b/>
                <w:sz w:val="17"/>
                <w:szCs w:val="17"/>
              </w:rPr>
              <w:t xml:space="preserve">2021</w:t>
            </w:r>
          </w:p>
        </w:tc>
        <w:tc>
          <w:tcPr>
            <w:tcW w:w="2120" w:type="dxa"/>
            <w:shd w:val="clear" w:color="auto" w:fill="E8EDE8"/>
          </w:tcPr>
          <w:p>
            <w:pPr>
              <w:spacing w:after="0"/>
              <w:jc w:val="right"/>
            </w:pPr>
            <w:r>
              <w:rPr>
                <w:b/>
                <w:sz w:val="17"/>
                <w:szCs w:val="17"/>
              </w:rPr>
              <w:t xml:space="preserve">2022</w:t>
            </w:r>
          </w:p>
        </w:tc>
        <w:tc>
          <w:tcPr>
            <w:tcW w:w="2120" w:type="dxa"/>
            <w:shd w:val="clear" w:color="auto" w:fill="E8EDE8"/>
          </w:tcPr>
          <w:p>
            <w:pPr>
              <w:spacing w:after="0"/>
              <w:jc w:val="right"/>
            </w:pPr>
            <w:r>
              <w:rPr>
                <w:b/>
                <w:sz w:val="17"/>
                <w:szCs w:val="17"/>
              </w:rPr>
              <w:t xml:space="preserve">2023</w:t>
            </w:r>
          </w:p>
        </w:tc>
      </w:tr>
      <w:tr>
        <w:trPr>
          <w:cantSplit/>
        </w:trPr>
        <w:tc>
          <w:tcPr>
            <w:tcW w:w="3277" w:type="dxa"/>
          </w:tcPr>
          <w:p>
            <w:pPr>
              <w:spacing w:after="0"/>
              <w:jc w:val="left"/>
            </w:pPr>
            <w:r>
              <w:rPr>
                <w:sz w:val="18"/>
                <w:szCs w:val="18"/>
              </w:rPr>
              <w:t xml:space="preserve">Capitaux propres</w:t>
            </w:r>
          </w:p>
        </w:tc>
        <w:tc>
          <w:tcPr>
            <w:tcW w:w="2120" w:type="dxa"/>
          </w:tcPr>
          <w:p>
            <w:pPr>
              <w:spacing w:after="0"/>
              <w:jc w:val="right"/>
            </w:pPr>
            <w:r>
              <w:rPr>
                <w:sz w:val="18"/>
                <w:szCs w:val="18"/>
              </w:rPr>
              <w:t xml:space="preserve">20 787</w:t>
            </w:r>
          </w:p>
        </w:tc>
        <w:tc>
          <w:tcPr>
            <w:tcW w:w="2120" w:type="dxa"/>
          </w:tcPr>
          <w:p>
            <w:pPr>
              <w:spacing w:after="0"/>
              <w:jc w:val="right"/>
            </w:pPr>
            <w:r>
              <w:rPr>
                <w:sz w:val="18"/>
                <w:szCs w:val="18"/>
              </w:rPr>
              <w:t xml:space="preserve">24 381</w:t>
            </w:r>
          </w:p>
        </w:tc>
        <w:tc>
          <w:tcPr>
            <w:tcW w:w="2120" w:type="dxa"/>
          </w:tcPr>
          <w:p>
            <w:pPr>
              <w:spacing w:after="0"/>
              <w:jc w:val="right"/>
            </w:pPr>
            <w:r>
              <w:rPr>
                <w:sz w:val="18"/>
                <w:szCs w:val="18"/>
              </w:rPr>
              <w:t xml:space="preserve">27 289</w:t>
            </w:r>
          </w:p>
        </w:tc>
      </w:tr>
      <w:tr>
        <w:trPr>
          <w:cantSplit/>
        </w:trPr>
        <w:tc>
          <w:tcPr>
            <w:tcW w:w="3277" w:type="dxa"/>
            <w:shd w:val="clear" w:color="auto" w:fill="F5F7F5"/>
          </w:tcPr>
          <w:p>
            <w:pPr>
              <w:spacing w:after="0"/>
              <w:jc w:val="left"/>
            </w:pPr>
            <w:r>
              <w:rPr>
                <w:b/>
                <w:sz w:val="18"/>
                <w:szCs w:val="18"/>
              </w:rPr>
              <w:t xml:space="preserve">Perte critique RN*</w:t>
            </w:r>
          </w:p>
        </w:tc>
        <w:tc>
          <w:tcPr>
            <w:tcW w:w="2120" w:type="dxa"/>
            <w:shd w:val="clear" w:color="auto" w:fill="F5F7F5"/>
          </w:tcPr>
          <w:p>
            <w:pPr>
              <w:spacing w:after="0"/>
              <w:jc w:val="right"/>
            </w:pPr>
            <w:r>
              <w:rPr>
                <w:b/>
                <w:sz w:val="18"/>
                <w:szCs w:val="18"/>
              </w:rPr>
              <w:t xml:space="preserve">−20 787</w:t>
            </w:r>
          </w:p>
        </w:tc>
        <w:tc>
          <w:tcPr>
            <w:tcW w:w="2120" w:type="dxa"/>
            <w:shd w:val="clear" w:color="auto" w:fill="F5F7F5"/>
          </w:tcPr>
          <w:p>
            <w:pPr>
              <w:spacing w:after="0"/>
              <w:jc w:val="right"/>
            </w:pPr>
            <w:r>
              <w:rPr>
                <w:b/>
                <w:sz w:val="18"/>
                <w:szCs w:val="18"/>
              </w:rPr>
              <w:t xml:space="preserve">−24 381</w:t>
            </w:r>
          </w:p>
        </w:tc>
        <w:tc>
          <w:tcPr>
            <w:tcW w:w="2120" w:type="dxa"/>
            <w:shd w:val="clear" w:color="auto" w:fill="F5F7F5"/>
          </w:tcPr>
          <w:p>
            <w:pPr>
              <w:spacing w:after="0"/>
              <w:jc w:val="right"/>
            </w:pPr>
            <w:r>
              <w:rPr>
                <w:b/>
                <w:sz w:val="18"/>
                <w:szCs w:val="18"/>
              </w:rPr>
              <w:t xml:space="preserve">−27 289</w:t>
            </w:r>
          </w:p>
        </w:tc>
      </w:tr>
      <w:tr>
        <w:trPr>
          <w:cantSplit/>
        </w:trPr>
        <w:tc>
          <w:tcPr>
            <w:tcW w:w="3277" w:type="dxa"/>
          </w:tcPr>
          <w:p>
            <w:pPr>
              <w:spacing w:after="0"/>
              <w:jc w:val="left"/>
            </w:pPr>
            <w:r>
              <w:rPr>
                <w:sz w:val="18"/>
                <w:szCs w:val="18"/>
              </w:rPr>
              <w:t xml:space="preserve">PNB réel</w:t>
            </w:r>
          </w:p>
        </w:tc>
        <w:tc>
          <w:tcPr>
            <w:tcW w:w="2120" w:type="dxa"/>
          </w:tcPr>
          <w:p>
            <w:pPr>
              <w:spacing w:after="0"/>
              <w:jc w:val="right"/>
            </w:pPr>
            <w:r>
              <w:rPr>
                <w:sz w:val="18"/>
                <w:szCs w:val="18"/>
              </w:rPr>
              <w:t xml:space="preserve">16 822</w:t>
            </w:r>
          </w:p>
        </w:tc>
        <w:tc>
          <w:tcPr>
            <w:tcW w:w="2120" w:type="dxa"/>
          </w:tcPr>
          <w:p>
            <w:pPr>
              <w:spacing w:after="0"/>
              <w:jc w:val="right"/>
            </w:pPr>
            <w:r>
              <w:rPr>
                <w:sz w:val="18"/>
                <w:szCs w:val="18"/>
              </w:rPr>
              <w:t xml:space="preserve">17 469</w:t>
            </w:r>
          </w:p>
        </w:tc>
        <w:tc>
          <w:tcPr>
            <w:tcW w:w="2120" w:type="dxa"/>
          </w:tcPr>
          <w:p>
            <w:pPr>
              <w:spacing w:after="0"/>
              <w:jc w:val="right"/>
            </w:pPr>
            <w:r>
              <w:rPr>
                <w:sz w:val="18"/>
                <w:szCs w:val="18"/>
              </w:rPr>
              <w:t xml:space="preserve">19 620</w:t>
            </w:r>
          </w:p>
        </w:tc>
      </w:tr>
      <w:tr>
        <w:trPr>
          <w:cantSplit/>
        </w:trPr>
        <w:tc>
          <w:tcPr>
            <w:tcW w:w="3277" w:type="dxa"/>
            <w:shd w:val="clear" w:color="auto" w:fill="F5F7F5"/>
          </w:tcPr>
          <w:p>
            <w:pPr>
              <w:spacing w:after="0"/>
              <w:jc w:val="left"/>
            </w:pPr>
            <w:r>
              <w:rPr>
                <w:b/>
                <w:sz w:val="18"/>
                <w:szCs w:val="18"/>
              </w:rPr>
              <w:t xml:space="preserve">PNB critique PNB*</w:t>
            </w:r>
          </w:p>
        </w:tc>
        <w:tc>
          <w:tcPr>
            <w:tcW w:w="2120" w:type="dxa"/>
            <w:shd w:val="clear" w:color="auto" w:fill="F5F7F5"/>
          </w:tcPr>
          <w:p>
            <w:pPr>
              <w:spacing w:after="0"/>
              <w:jc w:val="right"/>
            </w:pPr>
            <w:r>
              <w:rPr>
                <w:b/>
                <w:sz w:val="18"/>
                <w:szCs w:val="18"/>
              </w:rPr>
              <w:t xml:space="preserve">−9 097</w:t>
            </w:r>
          </w:p>
        </w:tc>
        <w:tc>
          <w:tcPr>
            <w:tcW w:w="2120" w:type="dxa"/>
            <w:shd w:val="clear" w:color="auto" w:fill="F5F7F5"/>
          </w:tcPr>
          <w:p>
            <w:pPr>
              <w:spacing w:after="0"/>
              <w:jc w:val="right"/>
            </w:pPr>
            <w:r>
              <w:rPr>
                <w:b/>
                <w:sz w:val="18"/>
                <w:szCs w:val="18"/>
              </w:rPr>
              <w:t xml:space="preserve">−12 581</w:t>
            </w:r>
          </w:p>
        </w:tc>
        <w:tc>
          <w:tcPr>
            <w:tcW w:w="2120" w:type="dxa"/>
            <w:shd w:val="clear" w:color="auto" w:fill="F5F7F5"/>
          </w:tcPr>
          <w:p>
            <w:pPr>
              <w:spacing w:after="0"/>
              <w:jc w:val="right"/>
            </w:pPr>
            <w:r>
              <w:rPr>
                <w:b/>
                <w:sz w:val="18"/>
                <w:szCs w:val="18"/>
              </w:rPr>
              <w:t xml:space="preserve">−13 669</w:t>
            </w:r>
          </w:p>
        </w:tc>
      </w:tr>
      <w:tr>
        <w:trPr>
          <w:cantSplit/>
        </w:trPr>
        <w:tc>
          <w:tcPr>
            <w:tcW w:w="3277" w:type="dxa"/>
          </w:tcPr>
          <w:p>
            <w:pPr>
              <w:spacing w:after="0"/>
              <w:jc w:val="left"/>
            </w:pPr>
            <w:r>
              <w:rPr>
                <w:sz w:val="18"/>
                <w:szCs w:val="18"/>
              </w:rPr>
              <w:t xml:space="preserve">Baisse de PNB tolérable</w:t>
            </w:r>
          </w:p>
        </w:tc>
        <w:tc>
          <w:tcPr>
            <w:tcW w:w="2120" w:type="dxa"/>
          </w:tcPr>
          <w:p>
            <w:pPr>
              <w:spacing w:after="0"/>
              <w:jc w:val="right"/>
            </w:pPr>
            <w:r>
              <w:rPr>
                <w:sz w:val="18"/>
                <w:szCs w:val="18"/>
              </w:rPr>
              <w:t xml:space="preserve">25 919</w:t>
            </w:r>
          </w:p>
        </w:tc>
        <w:tc>
          <w:tcPr>
            <w:tcW w:w="2120" w:type="dxa"/>
          </w:tcPr>
          <w:p>
            <w:pPr>
              <w:spacing w:after="0"/>
              <w:jc w:val="right"/>
            </w:pPr>
            <w:r>
              <w:rPr>
                <w:sz w:val="18"/>
                <w:szCs w:val="18"/>
              </w:rPr>
              <w:t xml:space="preserve">30 050</w:t>
            </w:r>
          </w:p>
        </w:tc>
        <w:tc>
          <w:tcPr>
            <w:tcW w:w="2120" w:type="dxa"/>
          </w:tcPr>
          <w:p>
            <w:pPr>
              <w:spacing w:after="0"/>
              <w:jc w:val="right"/>
            </w:pPr>
            <w:r>
              <w:rPr>
                <w:sz w:val="18"/>
                <w:szCs w:val="18"/>
              </w:rPr>
              <w:t xml:space="preserve">33 289</w:t>
            </w:r>
          </w:p>
        </w:tc>
      </w:tr>
      <w:tr>
        <w:trPr>
          <w:cantSplit/>
        </w:trPr>
        <w:tc>
          <w:tcPr>
            <w:tcW w:w="3277" w:type="dxa"/>
            <w:shd w:val="clear" w:color="auto" w:fill="F5F7F5"/>
          </w:tcPr>
          <w:p>
            <w:pPr>
              <w:spacing w:after="0"/>
              <w:jc w:val="left"/>
            </w:pPr>
            <w:r>
              <w:rPr>
                <w:b/>
                <w:sz w:val="18"/>
                <w:szCs w:val="18"/>
              </w:rPr>
              <w:t xml:space="preserve">… en % du PNB</w:t>
            </w:r>
          </w:p>
        </w:tc>
        <w:tc>
          <w:tcPr>
            <w:tcW w:w="2120" w:type="dxa"/>
            <w:shd w:val="clear" w:color="auto" w:fill="F5F7F5"/>
          </w:tcPr>
          <w:p>
            <w:pPr>
              <w:spacing w:after="0"/>
              <w:jc w:val="right"/>
            </w:pPr>
            <w:r>
              <w:rPr>
                <w:b/>
                <w:sz w:val="18"/>
                <w:szCs w:val="18"/>
              </w:rPr>
              <w:t xml:space="preserve">154,1 %</w:t>
            </w:r>
          </w:p>
        </w:tc>
        <w:tc>
          <w:tcPr>
            <w:tcW w:w="2120" w:type="dxa"/>
            <w:shd w:val="clear" w:color="auto" w:fill="F5F7F5"/>
          </w:tcPr>
          <w:p>
            <w:pPr>
              <w:spacing w:after="0"/>
              <w:jc w:val="right"/>
            </w:pPr>
            <w:r>
              <w:rPr>
                <w:b/>
                <w:sz w:val="18"/>
                <w:szCs w:val="18"/>
              </w:rPr>
              <w:t xml:space="preserve">172,0 %</w:t>
            </w:r>
          </w:p>
        </w:tc>
        <w:tc>
          <w:tcPr>
            <w:tcW w:w="2120" w:type="dxa"/>
            <w:shd w:val="clear" w:color="auto" w:fill="F5F7F5"/>
          </w:tcPr>
          <w:p>
            <w:pPr>
              <w:spacing w:after="0"/>
              <w:jc w:val="right"/>
            </w:pPr>
            <w:r>
              <w:rPr>
                <w:b/>
                <w:sz w:val="18"/>
                <w:szCs w:val="18"/>
              </w:rPr>
              <w:t xml:space="preserve">169,7 %</w:t>
            </w:r>
          </w:p>
        </w:tc>
      </w:tr>
    </w:tbl>
    <w:p>
      <w:pPr>
        <w:spacing w:after="60"/>
      </w:pPr>
    </w:p>
    <w:p>
      <w:pPr>
        <w:pStyle w:val="Heading3"/>
        <w:keepNext/>
      </w:pPr>
      <w:r>
        <w:t xml:space="preserve">PNB critique (PNB*)</w:t>
      </w:r>
    </w:p>
    <w:p>
      <w:pPr>
        <w:spacing w:after="60"/>
      </w:pPr>
      <w:r>
        <w:rPr>
          <w:i/>
          <w:color w:val="6B7770"/>
          <w:sz w:val="17"/>
          <w:szCs w:val="17"/>
        </w:rPr>
        <w:t xml:space="preserve">Stress test</w:t>
      </w:r>
    </w:p>
    <w:p>
      <w:r>
        <w:rPr>
          <w:sz w:val="19"/>
          <w:szCs w:val="19"/>
        </w:rPr>
        <w:t xml:space="preserve">On remonte la cascade du compte de résultat avec RN* = −Capitaux propres et un impôt nul (pas d’impôt sur une perte) : PNB* = RN* − subventions + charges générales + dotations + coût du risque − gains sur actifs immobilisés.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PNB critique (PNB*) = </m:t>
          </m:r>
          <m:r>
            <m:rPr>
              <m:sty m:val="p"/>
            </m:rPr>
            <w:rPr>
              <w:rFonts w:ascii="Cambria Math" w:hAnsi="Cambria Math"/>
            </w:rPr>
            <m:t xml:space="preserve">−</m:t>
          </m:r>
          <m:r>
            <m:rPr>
              <m:sty m:val="p"/>
            </m:rPr>
            <w:rPr>
              <w:rFonts w:ascii="Cambria Math" w:hAnsi="Cambria Math"/>
            </w:rPr>
            <m:t xml:space="preserve">Capitaux propres</m:t>
          </m:r>
          <m:r>
            <m:rPr>
              <m:sty m:val="p"/>
            </m:rPr>
            <w:rPr>
              <w:rFonts w:ascii="Cambria Math" w:hAnsi="Cambria Math"/>
            </w:rPr>
            <m:t xml:space="preserve"> − </m:t>
          </m:r>
          <m:r>
            <m:rPr>
              <m:sty m:val="p"/>
            </m:rPr>
            <w:rPr>
              <w:rFonts w:ascii="Cambria Math" w:hAnsi="Cambria Math"/>
            </w:rPr>
            <m:t xml:space="preserve">Subventions</m:t>
          </m:r>
          <m:r>
            <m:rPr>
              <m:sty m:val="p"/>
            </m:rPr>
            <w:rPr>
              <w:rFonts w:ascii="Cambria Math" w:hAnsi="Cambria Math"/>
            </w:rPr>
            <m:t xml:space="preserve"> + </m:t>
          </m:r>
          <m:r>
            <m:rPr>
              <m:sty m:val="p"/>
            </m:rPr>
            <w:rPr>
              <w:rFonts w:ascii="Cambria Math" w:hAnsi="Cambria Math"/>
            </w:rPr>
            <m:t xml:space="preserve">Charges générales</m:t>
          </m:r>
          <m:r>
            <m:rPr>
              <m:sty m:val="p"/>
            </m:rPr>
            <w:rPr>
              <w:rFonts w:ascii="Cambria Math" w:hAnsi="Cambria Math"/>
            </w:rPr>
            <m:t xml:space="preserve"> + </m:t>
          </m:r>
          <m:r>
            <m:rPr>
              <m:sty m:val="p"/>
            </m:rPr>
            <w:rPr>
              <w:rFonts w:ascii="Cambria Math" w:hAnsi="Cambria Math"/>
            </w:rPr>
            <m:t xml:space="preserve">Dotations amortissements</m:t>
          </m:r>
          <m:r>
            <m:rPr>
              <m:sty m:val="p"/>
            </m:rPr>
            <w:rPr>
              <w:rFonts w:ascii="Cambria Math" w:hAnsi="Cambria Math"/>
            </w:rPr>
            <m:t xml:space="preserve"> + </m:t>
          </m:r>
          <m:r>
            <m:rPr>
              <m:sty m:val="p"/>
            </m:rPr>
            <w:rPr>
              <w:rFonts w:ascii="Cambria Math" w:hAnsi="Cambria Math"/>
            </w:rPr>
            <m:t xml:space="preserve">Coût du risque</m:t>
          </m:r>
          <m:r>
            <m:rPr>
              <m:sty m:val="p"/>
            </m:rPr>
            <w:rPr>
              <w:rFonts w:ascii="Cambria Math" w:hAnsi="Cambria Math"/>
            </w:rPr>
            <m:t xml:space="preserve"> − </m:t>
          </m:r>
          <m:r>
            <m:rPr>
              <m:sty m:val="p"/>
            </m:rPr>
            <w:rPr>
              <w:rFonts w:ascii="Cambria Math" w:hAnsi="Cambria Math"/>
            </w:rPr>
            <m:t xml:space="preserve">Gains sur actifs immobilisés</m:t>
          </m:r>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PNB critique (PNB*) = </m:t>
          </m:r>
          <m:r>
            <m:rPr>
              <m:sty m:val="p"/>
            </m:rPr>
            <w:rPr>
              <w:rFonts w:ascii="Cambria Math" w:hAnsi="Cambria Math"/>
            </w:rPr>
            <m:t xml:space="preserve">−</m:t>
          </m:r>
          <m:r>
            <m:rPr>
              <m:sty m:val="p"/>
            </m:rPr>
            <w:rPr>
              <w:rFonts w:ascii="Cambria Math" w:hAnsi="Cambria Math"/>
            </w:rPr>
            <m:t xml:space="preserve">20 787</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9 000</m:t>
          </m:r>
          <m:r>
            <m:rPr>
              <m:sty m:val="p"/>
            </m:rPr>
            <w:rPr>
              <w:rFonts w:ascii="Cambria Math" w:hAnsi="Cambria Math"/>
            </w:rPr>
            <m:t xml:space="preserve"> + </m:t>
          </m:r>
          <m:r>
            <m:rPr>
              <m:sty m:val="p"/>
            </m:rPr>
            <w:rPr>
              <w:rFonts w:ascii="Cambria Math" w:hAnsi="Cambria Math"/>
            </w:rPr>
            <m:t xml:space="preserve">1 500</m:t>
          </m:r>
          <m:r>
            <m:rPr>
              <m:sty m:val="p"/>
            </m:rPr>
            <w:rPr>
              <w:rFonts w:ascii="Cambria Math" w:hAnsi="Cambria Math"/>
            </w:rPr>
            <m:t xml:space="preserve"> + </m:t>
          </m:r>
          <m:r>
            <m:rPr>
              <m:sty m:val="p"/>
            </m:rPr>
            <w:rPr>
              <w:rFonts w:ascii="Cambria Math" w:hAnsi="Cambria Math"/>
            </w:rPr>
            <m:t xml:space="preserve">1 200</m:t>
          </m:r>
          <m:r>
            <m:rPr>
              <m:sty m:val="p"/>
            </m:rPr>
            <w:rPr>
              <w:rFonts w:ascii="Cambria Math" w:hAnsi="Cambria Math"/>
            </w:rPr>
            <m:t xml:space="preserve"> − </m:t>
          </m:r>
          <m:r>
            <m:rPr>
              <m:sty m:val="p"/>
            </m:rPr>
            <w:rPr>
              <w:rFonts w:ascii="Cambria Math" w:hAnsi="Cambria Math"/>
            </w:rPr>
            <m:t xml:space="preserve">10</m:t>
          </m:r>
          <m:r>
            <m:rPr>
              <m:sty m:val="p"/>
            </m:rPr>
            <w:rPr>
              <w:rFonts w:ascii="Cambria Math" w:hAnsi="Cambria Math"/>
            </w:rPr>
            <m:t xml:space="preserve"> = −9 097</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PNB critique (PNB*) = </m:t>
          </m:r>
          <m:r>
            <m:rPr>
              <m:sty m:val="p"/>
            </m:rPr>
            <w:rPr>
              <w:rFonts w:ascii="Cambria Math" w:hAnsi="Cambria Math"/>
            </w:rPr>
            <m:t xml:space="preserve">−</m:t>
          </m:r>
          <m:r>
            <m:rPr>
              <m:sty m:val="p"/>
            </m:rPr>
            <w:rPr>
              <w:rFonts w:ascii="Cambria Math" w:hAnsi="Cambria Math"/>
            </w:rPr>
            <m:t xml:space="preserve">24 381</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9 300</m:t>
          </m:r>
          <m:r>
            <m:rPr>
              <m:sty m:val="p"/>
            </m:rPr>
            <w:rPr>
              <w:rFonts w:ascii="Cambria Math" w:hAnsi="Cambria Math"/>
            </w:rPr>
            <m:t xml:space="preserve"> + </m:t>
          </m:r>
          <m:r>
            <m:rPr>
              <m:sty m:val="p"/>
            </m:rPr>
            <w:rPr>
              <w:rFonts w:ascii="Cambria Math" w:hAnsi="Cambria Math"/>
            </w:rPr>
            <m:t xml:space="preserve">1 600</m:t>
          </m:r>
          <m:r>
            <m:rPr>
              <m:sty m:val="p"/>
            </m:rPr>
            <w:rPr>
              <w:rFonts w:ascii="Cambria Math" w:hAnsi="Cambria Math"/>
            </w:rPr>
            <m:t xml:space="preserve"> + </m:t>
          </m:r>
          <m:r>
            <m:rPr>
              <m:sty m:val="p"/>
            </m:rPr>
            <w:rPr>
              <w:rFonts w:ascii="Cambria Math" w:hAnsi="Cambria Math"/>
            </w:rPr>
            <m:t xml:space="preserve">900</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−12 581</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PNB critique (PNB*) = </m:t>
          </m:r>
          <m:r>
            <m:rPr>
              <m:sty m:val="p"/>
            </m:rPr>
            <w:rPr>
              <w:rFonts w:ascii="Cambria Math" w:hAnsi="Cambria Math"/>
            </w:rPr>
            <m:t xml:space="preserve">−</m:t>
          </m:r>
          <m:r>
            <m:rPr>
              <m:sty m:val="p"/>
            </m:rPr>
            <w:rPr>
              <w:rFonts w:ascii="Cambria Math" w:hAnsi="Cambria Math"/>
            </w:rPr>
            <m:t xml:space="preserve">27 289</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9 800</m:t>
          </m:r>
          <m:r>
            <m:rPr>
              <m:sty m:val="p"/>
            </m:rPr>
            <w:rPr>
              <w:rFonts w:ascii="Cambria Math" w:hAnsi="Cambria Math"/>
            </w:rPr>
            <m:t xml:space="preserve"> + </m:t>
          </m:r>
          <m:r>
            <m:rPr>
              <m:sty m:val="p"/>
            </m:rPr>
            <w:rPr>
              <w:rFonts w:ascii="Cambria Math" w:hAnsi="Cambria Math"/>
            </w:rPr>
            <m:t xml:space="preserve">1 700</m:t>
          </m:r>
          <m:r>
            <m:rPr>
              <m:sty m:val="p"/>
            </m:rPr>
            <w:rPr>
              <w:rFonts w:ascii="Cambria Math" w:hAnsi="Cambria Math"/>
            </w:rPr>
            <m:t xml:space="preserve"> + </m:t>
          </m:r>
          <m:r>
            <m:rPr>
              <m:sty m:val="p"/>
            </m:rPr>
            <w:rPr>
              <w:rFonts w:ascii="Cambria Math" w:hAnsi="Cambria Math"/>
            </w:rPr>
            <m:t xml:space="preserve">2 100</m:t>
          </m:r>
          <m:r>
            <m:rPr>
              <m:sty m:val="p"/>
            </m:rPr>
            <w:rPr>
              <w:rFonts w:ascii="Cambria Math" w:hAnsi="Cambria Math"/>
            </w:rPr>
            <m:t xml:space="preserve"> − </m:t>
          </m:r>
          <m:r>
            <m:rPr>
              <m:sty m:val="p"/>
            </m:rPr>
            <w:rPr>
              <w:rFonts w:ascii="Cambria Math" w:hAnsi="Cambria Math"/>
            </w:rPr>
            <m:t xml:space="preserve">(−20)</m:t>
          </m:r>
          <m:r>
            <m:rPr>
              <m:sty m:val="p"/>
            </m:rPr>
            <w:rPr>
              <w:rFonts w:ascii="Cambria Math" w:hAnsi="Cambria Math"/>
            </w:rPr>
            <m:t xml:space="preserve"> = −13 669</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−9 097</w:t>
            </w:r>
          </w:p>
        </w:tc>
        <w:tc>
          <w:tcPr>
            <w:tcW w:w="2506" w:type="dxa"/>
          </w:tcPr>
          <w:p>
            <w:pPr>
              <w:spacing w:after="0"/>
              <w:jc w:val="right"/>
            </w:pPr>
            <w:r>
              <w:rPr>
                <w:sz w:val="18"/>
                <w:szCs w:val="18"/>
              </w:rPr>
              <w:t xml:space="preserve">−12 581</w:t>
            </w:r>
          </w:p>
        </w:tc>
        <w:tc>
          <w:tcPr>
            <w:tcW w:w="2506" w:type="dxa"/>
          </w:tcPr>
          <w:p>
            <w:pPr>
              <w:spacing w:after="0"/>
              <w:jc w:val="right"/>
            </w:pPr>
            <w:r>
              <w:rPr>
                <w:sz w:val="18"/>
                <w:szCs w:val="18"/>
              </w:rPr>
              <w:t xml:space="preserve">−13 669</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0" name="Graphiqu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20.png"/>
                    <pic:cNvPicPr/>
                  </pic:nvPicPr>
                  <pic:blipFill>
                    <a:blip r:embed="rIdImg20"/>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20 – PNB critique (PNB*) par exercice</w:t>
      </w:r>
    </w:p>
    <w:p>
      <w:r>
        <w:t xml:space="preserve">Passe de </w:t>
      </w:r>
      <w:r>
        <w:rPr>
          <w:b/>
        </w:rPr>
        <w:t xml:space="preserve">−9 097</w:t>
      </w:r>
      <w:r>
        <w:t xml:space="preserve"> en 2021 à </w:t>
      </w:r>
      <w:r>
        <w:rPr>
          <w:b/>
        </w:rPr>
        <w:t xml:space="preserve">−13 669</w:t>
      </w:r>
      <w:r>
        <w:t xml:space="preserve"> en 2023 (−4 572 M), baisse continue sur la période. Même avec un PNB nul, les charges ne suffiraient pas à effacer les capitaux propres en un exercice : la banque encaisserait la disparition totale de ses revenus pendant un an.</w:t>
      </w:r>
    </w:p>
    <w:p>
      <w:pPr>
        <w:pStyle w:val="Heading3"/>
        <w:keepNext/>
      </w:pPr>
      <w:r>
        <w:t xml:space="preserve">Baisse de PNB menant à la faillite</w:t>
      </w:r>
    </w:p>
    <w:p>
      <w:pPr>
        <w:spacing w:after="60"/>
      </w:pPr>
      <w:r>
        <w:rPr>
          <w:i/>
          <w:color w:val="6B7770"/>
          <w:sz w:val="17"/>
          <w:szCs w:val="17"/>
        </w:rPr>
        <w:t xml:space="preserve">Stress test</w:t>
      </w:r>
    </w:p>
    <w:p>
      <w:r>
        <w:rPr>
          <w:sz w:val="19"/>
          <w:szCs w:val="19"/>
        </w:rPr>
        <w:t xml:space="preserve">De combien le PNB doit chuter, charges et coût du risque inchangés, pour que la perte de l’exercice efface les capitaux propres. Algébriquement, PNB − PNB* = Résultat avant impôt + Capitaux propres.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Baisse de PNB menant à la faillite = </m:t>
          </m:r>
          <m:f>
            <m:num>
              <m:r>
                <m:rPr>
                  <m:sty m:val="p"/>
                </m:rPr>
                <w:rPr>
                  <w:rFonts w:ascii="Cambria Math" w:hAnsi="Cambria Math"/>
                </w:rPr>
                <m:t xml:space="preserve"/>
              </m:r>
              <m:r>
                <m:rPr>
                  <m:sty m:val="p"/>
                </m:rPr>
                <w:rPr>
                  <w:rFonts w:ascii="Cambria Math" w:hAnsi="Cambria Math"/>
                </w:rPr>
                <m:t xml:space="preserve">PNB</m:t>
              </m:r>
              <m:r>
                <m:rPr>
                  <m:sty m:val="p"/>
                </m:rPr>
                <w:rPr>
                  <w:rFonts w:ascii="Cambria Math" w:hAnsi="Cambria Math"/>
                </w:rPr>
                <m:t xml:space="preserve"> − </m:t>
              </m:r>
              <m:r>
                <m:rPr>
                  <m:sty m:val="p"/>
                </m:rPr>
                <w:rPr>
                  <w:rFonts w:ascii="Cambria Math" w:hAnsi="Cambria Math"/>
                </w:rPr>
                <m:t xml:space="preserve">PNB*</m:t>
              </m:r>
            </m:num>
            <m:den>
              <m:r>
                <m:rPr>
                  <m:sty m:val="p"/>
                </m:rPr>
                <w:rPr>
                  <w:rFonts w:ascii="Cambria Math" w:hAnsi="Cambria Math"/>
                </w:rPr>
                <m:t xml:space="preserve">PNB</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Baisse de PNB menant à la faillite = </m:t>
          </m:r>
          <m:f>
            <m:num>
              <m:r>
                <m:rPr>
                  <m:sty m:val="p"/>
                </m:rPr>
                <w:rPr>
                  <w:rFonts w:ascii="Cambria Math" w:hAnsi="Cambria Math"/>
                </w:rPr>
                <m:t xml:space="preserve"/>
              </m:r>
              <m:r>
                <m:rPr>
                  <m:sty m:val="p"/>
                </m:rPr>
                <w:rPr>
                  <w:rFonts w:ascii="Cambria Math" w:hAnsi="Cambria Math"/>
                </w:rPr>
                <m:t xml:space="preserve">16 822</m:t>
              </m:r>
              <m:r>
                <m:rPr>
                  <m:sty m:val="p"/>
                </m:rPr>
                <w:rPr>
                  <w:rFonts w:ascii="Cambria Math" w:hAnsi="Cambria Math"/>
                </w:rPr>
                <m:t xml:space="preserve"> − </m:t>
              </m:r>
              <m:r>
                <m:rPr>
                  <m:sty m:val="p"/>
                </m:rPr>
                <w:rPr>
                  <w:rFonts w:ascii="Cambria Math" w:hAnsi="Cambria Math"/>
                </w:rPr>
                <m:t xml:space="preserve">(−9 097)</m:t>
              </m:r>
            </m:num>
            <m:den>
              <m:r>
                <m:rPr>
                  <m:sty m:val="p"/>
                </m:rPr>
                <w:rPr>
                  <w:rFonts w:ascii="Cambria Math" w:hAnsi="Cambria Math"/>
                </w:rPr>
                <m:t xml:space="preserve">16 822</m:t>
              </m:r>
            </m:den>
          </m:f>
          <m:r>
            <m:rPr>
              <m:sty m:val="p"/>
            </m:rPr>
            <w:rPr>
              <w:rFonts w:ascii="Cambria Math" w:hAnsi="Cambria Math"/>
            </w:rPr>
            <m:t xml:space="preserve"> = 154,08 %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Baisse de PNB menant à la faillite = </m:t>
          </m:r>
          <m:f>
            <m:num>
              <m:r>
                <m:rPr>
                  <m:sty m:val="p"/>
                </m:rPr>
                <w:rPr>
                  <w:rFonts w:ascii="Cambria Math" w:hAnsi="Cambria Math"/>
                </w:rPr>
                <m:t xml:space="preserve"/>
              </m:r>
              <m:r>
                <m:rPr>
                  <m:sty m:val="p"/>
                </m:rPr>
                <w:rPr>
                  <w:rFonts w:ascii="Cambria Math" w:hAnsi="Cambria Math"/>
                </w:rPr>
                <m:t xml:space="preserve">17 469</m:t>
              </m:r>
              <m:r>
                <m:rPr>
                  <m:sty m:val="p"/>
                </m:rPr>
                <w:rPr>
                  <w:rFonts w:ascii="Cambria Math" w:hAnsi="Cambria Math"/>
                </w:rPr>
                <m:t xml:space="preserve"> − </m:t>
              </m:r>
              <m:r>
                <m:rPr>
                  <m:sty m:val="p"/>
                </m:rPr>
                <w:rPr>
                  <w:rFonts w:ascii="Cambria Math" w:hAnsi="Cambria Math"/>
                </w:rPr>
                <m:t xml:space="preserve">(−12 581)</m:t>
              </m:r>
            </m:num>
            <m:den>
              <m:r>
                <m:rPr>
                  <m:sty m:val="p"/>
                </m:rPr>
                <w:rPr>
                  <w:rFonts w:ascii="Cambria Math" w:hAnsi="Cambria Math"/>
                </w:rPr>
                <m:t xml:space="preserve">17 469</m:t>
              </m:r>
            </m:den>
          </m:f>
          <m:r>
            <m:rPr>
              <m:sty m:val="p"/>
            </m:rPr>
            <w:rPr>
              <w:rFonts w:ascii="Cambria Math" w:hAnsi="Cambria Math"/>
            </w:rPr>
            <m:t xml:space="preserve"> = 172,02 %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Baisse de PNB menant à la faillite = </m:t>
          </m:r>
          <m:f>
            <m:num>
              <m:r>
                <m:rPr>
                  <m:sty m:val="p"/>
                </m:rPr>
                <w:rPr>
                  <w:rFonts w:ascii="Cambria Math" w:hAnsi="Cambria Math"/>
                </w:rPr>
                <m:t xml:space="preserve"/>
              </m:r>
              <m:r>
                <m:rPr>
                  <m:sty m:val="p"/>
                </m:rPr>
                <w:rPr>
                  <w:rFonts w:ascii="Cambria Math" w:hAnsi="Cambria Math"/>
                </w:rPr>
                <m:t xml:space="preserve">19 620</m:t>
              </m:r>
              <m:r>
                <m:rPr>
                  <m:sty m:val="p"/>
                </m:rPr>
                <w:rPr>
                  <w:rFonts w:ascii="Cambria Math" w:hAnsi="Cambria Math"/>
                </w:rPr>
                <m:t xml:space="preserve"> − </m:t>
              </m:r>
              <m:r>
                <m:rPr>
                  <m:sty m:val="p"/>
                </m:rPr>
                <w:rPr>
                  <w:rFonts w:ascii="Cambria Math" w:hAnsi="Cambria Math"/>
                </w:rPr>
                <m:t xml:space="preserve">(−13 669)</m:t>
              </m:r>
            </m:num>
            <m:den>
              <m:r>
                <m:rPr>
                  <m:sty m:val="p"/>
                </m:rPr>
                <w:rPr>
                  <w:rFonts w:ascii="Cambria Math" w:hAnsi="Cambria Math"/>
                </w:rPr>
                <m:t xml:space="preserve">19 620</m:t>
              </m:r>
            </m:den>
          </m:f>
          <m:r>
            <m:rPr>
              <m:sty m:val="p"/>
            </m:rPr>
            <w:rPr>
              <w:rFonts w:ascii="Cambria Math" w:hAnsi="Cambria Math"/>
            </w:rPr>
            <m:t xml:space="preserve"> = 169,67 %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154,08 %</w:t>
            </w:r>
          </w:p>
        </w:tc>
        <w:tc>
          <w:tcPr>
            <w:tcW w:w="2506" w:type="dxa"/>
          </w:tcPr>
          <w:p>
            <w:pPr>
              <w:spacing w:after="0"/>
              <w:jc w:val="right"/>
            </w:pPr>
            <w:r>
              <w:rPr>
                <w:sz w:val="18"/>
                <w:szCs w:val="18"/>
              </w:rPr>
              <w:t xml:space="preserve">172,02 %</w:t>
            </w:r>
          </w:p>
        </w:tc>
        <w:tc>
          <w:tcPr>
            <w:tcW w:w="2506" w:type="dxa"/>
          </w:tcPr>
          <w:p>
            <w:pPr>
              <w:spacing w:after="0"/>
              <w:jc w:val="right"/>
            </w:pPr>
            <w:r>
              <w:rPr>
                <w:sz w:val="18"/>
                <w:szCs w:val="18"/>
              </w:rPr>
              <w:t xml:space="preserve">169,67 %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1"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21.png"/>
                    <pic:cNvPicPr/>
                  </pic:nvPicPr>
                  <pic:blipFill>
                    <a:blip r:embed="rIdImg21"/>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21 – Baisse de PNB menant à la faillite par exercice</w:t>
      </w:r>
    </w:p>
    <w:p>
      <w:r>
        <w:t xml:space="preserve">Passe de </w:t>
      </w:r>
      <w:r>
        <w:rPr>
          <w:b/>
        </w:rPr>
        <w:t xml:space="preserve">154,08 %</w:t>
      </w:r>
      <w:r>
        <w:t xml:space="preserve"> en 2021 à </w:t>
      </w:r>
      <w:r>
        <w:rPr>
          <w:b/>
        </w:rPr>
        <w:t xml:space="preserve">169,67 %</w:t>
      </w:r>
      <w:r>
        <w:t xml:space="preserve"> en 2023 (+15,59 pt), avec une hausse en 2022 puis une baisse en 2023. Le PNB pourrait disparaître entièrement sans que la banque fasse faillite sur un exercice.</w:t>
      </w:r>
    </w:p>
    <w:p>
      <w:pPr>
        <w:pStyle w:val="Heading3"/>
        <w:keepNext/>
      </w:pPr>
      <w:r>
        <w:t xml:space="preserve">Coût du risque critique</w:t>
      </w:r>
    </w:p>
    <w:p>
      <w:pPr>
        <w:spacing w:after="60"/>
      </w:pPr>
      <w:r>
        <w:rPr>
          <w:i/>
          <w:color w:val="6B7770"/>
          <w:sz w:val="17"/>
          <w:szCs w:val="17"/>
        </w:rPr>
        <w:t xml:space="preserve">Stress test</w:t>
      </w:r>
    </w:p>
    <w:p>
      <w:r>
        <w:rPr>
          <w:sz w:val="19"/>
          <w:szCs w:val="19"/>
        </w:rPr>
        <w:t xml:space="preserve">Variante : coût du risque qui, à PNB inchangé, produirait une perte égale aux capitaux propres.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Coût du risque critique = </m:t>
          </m:r>
          <m:r>
            <m:rPr>
              <m:sty m:val="p"/>
            </m:rPr>
            <w:rPr>
              <w:rFonts w:ascii="Cambria Math" w:hAnsi="Cambria Math"/>
            </w:rPr>
            <m:t xml:space="preserve"/>
          </m:r>
          <m:r>
            <m:rPr>
              <m:sty m:val="p"/>
            </m:rPr>
            <w:rPr>
              <w:rFonts w:ascii="Cambria Math" w:hAnsi="Cambria Math"/>
            </w:rPr>
            <m:t xml:space="preserve">PNB</m:t>
          </m:r>
          <m:r>
            <m:rPr>
              <m:sty m:val="p"/>
            </m:rPr>
            <w:rPr>
              <w:rFonts w:ascii="Cambria Math" w:hAnsi="Cambria Math"/>
            </w:rPr>
            <m:t xml:space="preserve"> + </m:t>
          </m:r>
          <m:r>
            <m:rPr>
              <m:sty m:val="p"/>
            </m:rPr>
            <w:rPr>
              <w:rFonts w:ascii="Cambria Math" w:hAnsi="Cambria Math"/>
            </w:rPr>
            <m:t xml:space="preserve">Subventions</m:t>
          </m:r>
          <m:r>
            <m:rPr>
              <m:sty m:val="p"/>
            </m:rPr>
            <w:rPr>
              <w:rFonts w:ascii="Cambria Math" w:hAnsi="Cambria Math"/>
            </w:rPr>
            <m:t xml:space="preserve"> − </m:t>
          </m:r>
          <m:r>
            <m:rPr>
              <m:sty m:val="p"/>
            </m:rPr>
            <w:rPr>
              <w:rFonts w:ascii="Cambria Math" w:hAnsi="Cambria Math"/>
            </w:rPr>
            <m:t xml:space="preserve">Charges générales</m:t>
          </m:r>
          <m:r>
            <m:rPr>
              <m:sty m:val="p"/>
            </m:rPr>
            <w:rPr>
              <w:rFonts w:ascii="Cambria Math" w:hAnsi="Cambria Math"/>
            </w:rPr>
            <m:t xml:space="preserve"> − </m:t>
          </m:r>
          <m:r>
            <m:rPr>
              <m:sty m:val="p"/>
            </m:rPr>
            <w:rPr>
              <w:rFonts w:ascii="Cambria Math" w:hAnsi="Cambria Math"/>
            </w:rPr>
            <m:t xml:space="preserve">Dotations amortissements</m:t>
          </m:r>
          <m:r>
            <m:rPr>
              <m:sty m:val="p"/>
            </m:rPr>
            <w:rPr>
              <w:rFonts w:ascii="Cambria Math" w:hAnsi="Cambria Math"/>
            </w:rPr>
            <m:t xml:space="preserve"> + </m:t>
          </m:r>
          <m:r>
            <m:rPr>
              <m:sty m:val="p"/>
            </m:rPr>
            <w:rPr>
              <w:rFonts w:ascii="Cambria Math" w:hAnsi="Cambria Math"/>
            </w:rPr>
            <m:t xml:space="preserve">Gains sur actifs immobilisés</m:t>
          </m:r>
          <m:r>
            <m:rPr>
              <m:sty m:val="p"/>
            </m:rPr>
            <w:rPr>
              <w:rFonts w:ascii="Cambria Math" w:hAnsi="Cambria Math"/>
            </w:rPr>
            <m:t xml:space="preserve"> + </m:t>
          </m:r>
          <m:r>
            <m:rPr>
              <m:sty m:val="p"/>
            </m:rPr>
            <w:rPr>
              <w:rFonts w:ascii="Cambria Math" w:hAnsi="Cambria Math"/>
            </w:rPr>
            <m:t xml:space="preserve">Capitaux propres</m:t>
          </m:r>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Coût du risque critique = </m:t>
          </m:r>
          <m:r>
            <m:rPr>
              <m:sty m:val="p"/>
            </m:rPr>
            <w:rPr>
              <w:rFonts w:ascii="Cambria Math" w:hAnsi="Cambria Math"/>
            </w:rPr>
            <m:t xml:space="preserve"/>
          </m:r>
          <m:r>
            <m:rPr>
              <m:sty m:val="p"/>
            </m:rPr>
            <w:rPr>
              <w:rFonts w:ascii="Cambria Math" w:hAnsi="Cambria Math"/>
            </w:rPr>
            <m:t xml:space="preserve">16 822</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9 000</m:t>
          </m:r>
          <m:r>
            <m:rPr>
              <m:sty m:val="p"/>
            </m:rPr>
            <w:rPr>
              <w:rFonts w:ascii="Cambria Math" w:hAnsi="Cambria Math"/>
            </w:rPr>
            <m:t xml:space="preserve"> − </m:t>
          </m:r>
          <m:r>
            <m:rPr>
              <m:sty m:val="p"/>
            </m:rPr>
            <w:rPr>
              <w:rFonts w:ascii="Cambria Math" w:hAnsi="Cambria Math"/>
            </w:rPr>
            <m:t xml:space="preserve">1 500</m:t>
          </m:r>
          <m:r>
            <m:rPr>
              <m:sty m:val="p"/>
            </m:rPr>
            <w:rPr>
              <w:rFonts w:ascii="Cambria Math" w:hAnsi="Cambria Math"/>
            </w:rPr>
            <m:t xml:space="preserve"> + </m:t>
          </m:r>
          <m:r>
            <m:rPr>
              <m:sty m:val="p"/>
            </m:rPr>
            <w:rPr>
              <w:rFonts w:ascii="Cambria Math" w:hAnsi="Cambria Math"/>
            </w:rPr>
            <m:t xml:space="preserve">10</m:t>
          </m:r>
          <m:r>
            <m:rPr>
              <m:sty m:val="p"/>
            </m:rPr>
            <w:rPr>
              <w:rFonts w:ascii="Cambria Math" w:hAnsi="Cambria Math"/>
            </w:rPr>
            <m:t xml:space="preserve"> + </m:t>
          </m:r>
          <m:r>
            <m:rPr>
              <m:sty m:val="p"/>
            </m:rPr>
            <w:rPr>
              <w:rFonts w:ascii="Cambria Math" w:hAnsi="Cambria Math"/>
            </w:rPr>
            <m:t xml:space="preserve">20 787</m:t>
          </m:r>
          <m:r>
            <m:rPr>
              <m:sty m:val="p"/>
            </m:rPr>
            <w:rPr>
              <w:rFonts w:ascii="Cambria Math" w:hAnsi="Cambria Math"/>
            </w:rPr>
            <m:t xml:space="preserve"> = 27 119</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Coût du risque critique = </m:t>
          </m:r>
          <m:r>
            <m:rPr>
              <m:sty m:val="p"/>
            </m:rPr>
            <w:rPr>
              <w:rFonts w:ascii="Cambria Math" w:hAnsi="Cambria Math"/>
            </w:rPr>
            <m:t xml:space="preserve"/>
          </m:r>
          <m:r>
            <m:rPr>
              <m:sty m:val="p"/>
            </m:rPr>
            <w:rPr>
              <w:rFonts w:ascii="Cambria Math" w:hAnsi="Cambria Math"/>
            </w:rPr>
            <m:t xml:space="preserve">17 469</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9 300</m:t>
          </m:r>
          <m:r>
            <m:rPr>
              <m:sty m:val="p"/>
            </m:rPr>
            <w:rPr>
              <w:rFonts w:ascii="Cambria Math" w:hAnsi="Cambria Math"/>
            </w:rPr>
            <m:t xml:space="preserve"> − </m:t>
          </m:r>
          <m:r>
            <m:rPr>
              <m:sty m:val="p"/>
            </m:rPr>
            <w:rPr>
              <w:rFonts w:ascii="Cambria Math" w:hAnsi="Cambria Math"/>
            </w:rPr>
            <m:t xml:space="preserve">1 600</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24 381</m:t>
          </m:r>
          <m:r>
            <m:rPr>
              <m:sty m:val="p"/>
            </m:rPr>
            <w:rPr>
              <w:rFonts w:ascii="Cambria Math" w:hAnsi="Cambria Math"/>
            </w:rPr>
            <m:t xml:space="preserve"> = 30 950</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Coût du risque critique = </m:t>
          </m:r>
          <m:r>
            <m:rPr>
              <m:sty m:val="p"/>
            </m:rPr>
            <w:rPr>
              <w:rFonts w:ascii="Cambria Math" w:hAnsi="Cambria Math"/>
            </w:rPr>
            <m:t xml:space="preserve"/>
          </m:r>
          <m:r>
            <m:rPr>
              <m:sty m:val="p"/>
            </m:rPr>
            <w:rPr>
              <w:rFonts w:ascii="Cambria Math" w:hAnsi="Cambria Math"/>
            </w:rPr>
            <m:t xml:space="preserve">19 620</m:t>
          </m:r>
          <m:r>
            <m:rPr>
              <m:sty m:val="p"/>
            </m:rPr>
            <w:rPr>
              <w:rFonts w:ascii="Cambria Math" w:hAnsi="Cambria Math"/>
            </w:rPr>
            <m:t xml:space="preserve"> + </m:t>
          </m:r>
          <m:r>
            <m:rPr>
              <m:sty m:val="p"/>
            </m:rPr>
            <w:rPr>
              <w:rFonts w:ascii="Cambria Math" w:hAnsi="Cambria Math"/>
            </w:rPr>
            <m:t xml:space="preserve">0</m:t>
          </m:r>
          <m:r>
            <m:rPr>
              <m:sty m:val="p"/>
            </m:rPr>
            <w:rPr>
              <w:rFonts w:ascii="Cambria Math" w:hAnsi="Cambria Math"/>
            </w:rPr>
            <m:t xml:space="preserve"> − </m:t>
          </m:r>
          <m:r>
            <m:rPr>
              <m:sty m:val="p"/>
            </m:rPr>
            <w:rPr>
              <w:rFonts w:ascii="Cambria Math" w:hAnsi="Cambria Math"/>
            </w:rPr>
            <m:t xml:space="preserve">9 800</m:t>
          </m:r>
          <m:r>
            <m:rPr>
              <m:sty m:val="p"/>
            </m:rPr>
            <w:rPr>
              <w:rFonts w:ascii="Cambria Math" w:hAnsi="Cambria Math"/>
            </w:rPr>
            <m:t xml:space="preserve"> − </m:t>
          </m:r>
          <m:r>
            <m:rPr>
              <m:sty m:val="p"/>
            </m:rPr>
            <w:rPr>
              <w:rFonts w:ascii="Cambria Math" w:hAnsi="Cambria Math"/>
            </w:rPr>
            <m:t xml:space="preserve">1 700</m:t>
          </m:r>
          <m:r>
            <m:rPr>
              <m:sty m:val="p"/>
            </m:rPr>
            <w:rPr>
              <w:rFonts w:ascii="Cambria Math" w:hAnsi="Cambria Math"/>
            </w:rPr>
            <m:t xml:space="preserve"> + </m:t>
          </m:r>
          <m:r>
            <m:rPr>
              <m:sty m:val="p"/>
            </m:rPr>
            <w:rPr>
              <w:rFonts w:ascii="Cambria Math" w:hAnsi="Cambria Math"/>
            </w:rPr>
            <m:t xml:space="preserve">(−20)</m:t>
          </m:r>
          <m:r>
            <m:rPr>
              <m:sty m:val="p"/>
            </m:rPr>
            <w:rPr>
              <w:rFonts w:ascii="Cambria Math" w:hAnsi="Cambria Math"/>
            </w:rPr>
            <m:t xml:space="preserve"> + </m:t>
          </m:r>
          <m:r>
            <m:rPr>
              <m:sty m:val="p"/>
            </m:rPr>
            <w:rPr>
              <w:rFonts w:ascii="Cambria Math" w:hAnsi="Cambria Math"/>
            </w:rPr>
            <m:t xml:space="preserve">27 289</m:t>
          </m:r>
          <m:r>
            <m:rPr>
              <m:sty m:val="p"/>
            </m:rPr>
            <w:rPr>
              <w:rFonts w:ascii="Cambria Math" w:hAnsi="Cambria Math"/>
            </w:rPr>
            <m:t xml:space="preserve"> = 35 389</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27 119</w:t>
            </w:r>
          </w:p>
        </w:tc>
        <w:tc>
          <w:tcPr>
            <w:tcW w:w="2506" w:type="dxa"/>
          </w:tcPr>
          <w:p>
            <w:pPr>
              <w:spacing w:after="0"/>
              <w:jc w:val="right"/>
            </w:pPr>
            <w:r>
              <w:rPr>
                <w:sz w:val="18"/>
                <w:szCs w:val="18"/>
              </w:rPr>
              <w:t xml:space="preserve">30 950</w:t>
            </w:r>
          </w:p>
        </w:tc>
        <w:tc>
          <w:tcPr>
            <w:tcW w:w="2506" w:type="dxa"/>
          </w:tcPr>
          <w:p>
            <w:pPr>
              <w:spacing w:after="0"/>
              <w:jc w:val="right"/>
            </w:pPr>
            <w:r>
              <w:rPr>
                <w:sz w:val="18"/>
                <w:szCs w:val="18"/>
              </w:rPr>
              <w:t xml:space="preserve">35 389</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2" name="Graphiqu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que22.png"/>
                    <pic:cNvPicPr/>
                  </pic:nvPicPr>
                  <pic:blipFill>
                    <a:blip r:embed="rIdImg22"/>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22 – Coût du risque critique par exercice</w:t>
      </w:r>
    </w:p>
    <w:p>
      <w:r>
        <w:t xml:space="preserve">Passe de </w:t>
      </w:r>
      <w:r>
        <w:rPr>
          <w:b/>
        </w:rPr>
        <w:t xml:space="preserve">27 119</w:t>
      </w:r>
      <w:r>
        <w:t xml:space="preserve"> en 2021 à </w:t>
      </w:r>
      <w:r>
        <w:rPr>
          <w:b/>
        </w:rPr>
        <w:t xml:space="preserve">35 389</w:t>
      </w:r>
      <w:r>
        <w:t xml:space="preserve"> en 2023 (+8 270 M), hausse continue sur la période.</w:t>
      </w:r>
    </w:p>
    <w:p>
      <w:pPr>
        <w:pStyle w:val="Heading3"/>
        <w:keepNext/>
      </w:pPr>
      <w:r>
        <w:t xml:space="preserve">Perte d’actifs absorbable</w:t>
      </w:r>
    </w:p>
    <w:p>
      <w:pPr>
        <w:spacing w:after="60"/>
      </w:pPr>
      <w:r>
        <w:rPr>
          <w:i/>
          <w:color w:val="6B7770"/>
          <w:sz w:val="17"/>
          <w:szCs w:val="17"/>
        </w:rPr>
        <w:t xml:space="preserve">Stress test</w:t>
      </w:r>
    </w:p>
    <w:p>
      <w:r>
        <w:rPr>
          <w:sz w:val="19"/>
          <w:szCs w:val="19"/>
        </w:rPr>
        <w:t xml:space="preserve">Pourcentage de l’actif qui peut être perdu avant que les capitaux propres ne soient effacés.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Perte d’actifs absorbable = </m:t>
          </m:r>
          <m:f>
            <m:num>
              <m:r>
                <m:rPr>
                  <m:sty m:val="p"/>
                </m:rPr>
                <w:rPr>
                  <w:rFonts w:ascii="Cambria Math" w:hAnsi="Cambria Math"/>
                </w:rPr>
                <m:t xml:space="preserve">Capitaux propres</m:t>
              </m:r>
            </m:num>
            <m:den>
              <m:r>
                <m:rPr>
                  <m:sty m:val="p"/>
                </m:rPr>
                <w:rPr>
                  <w:rFonts w:ascii="Cambria Math" w:hAnsi="Cambria Math"/>
                </w:rPr>
                <m:t xml:space="preserve">Total actif</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Perte d’actifs absorbable = </m:t>
          </m:r>
          <m:f>
            <m:num>
              <m:r>
                <m:rPr>
                  <m:sty m:val="p"/>
                </m:rPr>
                <w:rPr>
                  <w:rFonts w:ascii="Cambria Math" w:hAnsi="Cambria Math"/>
                </w:rPr>
                <m:t xml:space="preserve">20 787</m:t>
              </m:r>
            </m:num>
            <m:den>
              <m:r>
                <m:rPr>
                  <m:sty m:val="p"/>
                </m:rPr>
                <w:rPr>
                  <w:rFonts w:ascii="Cambria Math" w:hAnsi="Cambria Math"/>
                </w:rPr>
                <m:t xml:space="preserve">301 931</m:t>
              </m:r>
            </m:den>
          </m:f>
          <m:r>
            <m:rPr>
              <m:sty m:val="p"/>
            </m:rPr>
            <w:rPr>
              <w:rFonts w:ascii="Cambria Math" w:hAnsi="Cambria Math"/>
            </w:rPr>
            <m:t xml:space="preserve"> = 6,88 %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Perte d’actifs absorbable = </m:t>
          </m:r>
          <m:f>
            <m:num>
              <m:r>
                <m:rPr>
                  <m:sty m:val="p"/>
                </m:rPr>
                <w:rPr>
                  <w:rFonts w:ascii="Cambria Math" w:hAnsi="Cambria Math"/>
                </w:rPr>
                <m:t xml:space="preserve">24 381</m:t>
              </m:r>
            </m:num>
            <m:den>
              <m:r>
                <m:rPr>
                  <m:sty m:val="p"/>
                </m:rPr>
                <w:rPr>
                  <w:rFonts w:ascii="Cambria Math" w:hAnsi="Cambria Math"/>
                </w:rPr>
                <m:t xml:space="preserve">269 088</m:t>
              </m:r>
            </m:den>
          </m:f>
          <m:r>
            <m:rPr>
              <m:sty m:val="p"/>
            </m:rPr>
            <w:rPr>
              <w:rFonts w:ascii="Cambria Math" w:hAnsi="Cambria Math"/>
            </w:rPr>
            <m:t xml:space="preserve"> = 9,06 %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Perte d’actifs absorbable = </m:t>
          </m:r>
          <m:f>
            <m:num>
              <m:r>
                <m:rPr>
                  <m:sty m:val="p"/>
                </m:rPr>
                <w:rPr>
                  <w:rFonts w:ascii="Cambria Math" w:hAnsi="Cambria Math"/>
                </w:rPr>
                <m:t xml:space="preserve">27 289</m:t>
              </m:r>
            </m:num>
            <m:den>
              <m:r>
                <m:rPr>
                  <m:sty m:val="p"/>
                </m:rPr>
                <w:rPr>
                  <w:rFonts w:ascii="Cambria Math" w:hAnsi="Cambria Math"/>
                </w:rPr>
                <m:t xml:space="preserve">295 660</m:t>
              </m:r>
            </m:den>
          </m:f>
          <m:r>
            <m:rPr>
              <m:sty m:val="p"/>
            </m:rPr>
            <w:rPr>
              <w:rFonts w:ascii="Cambria Math" w:hAnsi="Cambria Math"/>
            </w:rPr>
            <m:t xml:space="preserve"> = 9,23 %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6,88 %</w:t>
            </w:r>
          </w:p>
        </w:tc>
        <w:tc>
          <w:tcPr>
            <w:tcW w:w="2506" w:type="dxa"/>
          </w:tcPr>
          <w:p>
            <w:pPr>
              <w:spacing w:after="0"/>
              <w:jc w:val="right"/>
            </w:pPr>
            <w:r>
              <w:rPr>
                <w:sz w:val="18"/>
                <w:szCs w:val="18"/>
              </w:rPr>
              <w:t xml:space="preserve">9,06 %</w:t>
            </w:r>
          </w:p>
        </w:tc>
        <w:tc>
          <w:tcPr>
            <w:tcW w:w="2506" w:type="dxa"/>
          </w:tcPr>
          <w:p>
            <w:pPr>
              <w:spacing w:after="0"/>
              <w:jc w:val="right"/>
            </w:pPr>
            <w:r>
              <w:rPr>
                <w:sz w:val="18"/>
                <w:szCs w:val="18"/>
              </w:rPr>
              <w:t xml:space="preserve">9,23 %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3" name="Graphiq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que23.png"/>
                    <pic:cNvPicPr/>
                  </pic:nvPicPr>
                  <pic:blipFill>
                    <a:blip r:embed="rIdImg23"/>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23 – Perte d’actifs absorbable par exercice</w:t>
      </w:r>
    </w:p>
    <w:p>
      <w:r>
        <w:t xml:space="preserve">Passe de </w:t>
      </w:r>
      <w:r>
        <w:rPr>
          <w:b/>
        </w:rPr>
        <w:t xml:space="preserve">6,88 %</w:t>
      </w:r>
      <w:r>
        <w:t xml:space="preserve"> en 2021 à </w:t>
      </w:r>
      <w:r>
        <w:rPr>
          <w:b/>
        </w:rPr>
        <w:t xml:space="preserve">9,23 %</w:t>
      </w:r>
      <w:r>
        <w:t xml:space="preserve"> en 2023 (+2,35 pt), hausse continue sur la période.</w:t>
      </w:r>
    </w:p>
    <w:p>
      <w:pPr>
        <w:pStyle w:val="Heading3"/>
        <w:keepNext/>
      </w:pPr>
      <w:r>
        <w:t xml:space="preserve">Défauts de crédits absorbables</w:t>
      </w:r>
    </w:p>
    <w:p>
      <w:pPr>
        <w:spacing w:after="60"/>
      </w:pPr>
      <w:r>
        <w:rPr>
          <w:i/>
          <w:color w:val="6B7770"/>
          <w:sz w:val="17"/>
          <w:szCs w:val="17"/>
        </w:rPr>
        <w:t xml:space="preserve">Stress test</w:t>
      </w:r>
    </w:p>
    <w:p>
      <w:r>
        <w:rPr>
          <w:sz w:val="19"/>
          <w:szCs w:val="19"/>
        </w:rPr>
        <w:t xml:space="preserve">Pourcentage des créances sur la clientèle qui peut faire défaut (perte totale) avant la faillite.</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Défauts de crédits absorbables = </m:t>
          </m:r>
          <m:f>
            <m:num>
              <m:r>
                <m:rPr>
                  <m:sty m:val="p"/>
                </m:rPr>
                <w:rPr>
                  <w:rFonts w:ascii="Cambria Math" w:hAnsi="Cambria Math"/>
                </w:rPr>
                <m:t xml:space="preserve">Capitaux propres</m:t>
              </m:r>
            </m:num>
            <m:den>
              <m:r>
                <m:rPr>
                  <m:sty m:val="p"/>
                </m:rPr>
                <w:rPr>
                  <w:rFonts w:ascii="Cambria Math" w:hAnsi="Cambria Math"/>
                </w:rPr>
                <m:t xml:space="preserve">Créances clientèle</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Défauts de crédits absorbables = </m:t>
          </m:r>
          <m:f>
            <m:num>
              <m:r>
                <m:rPr>
                  <m:sty m:val="p"/>
                </m:rPr>
                <w:rPr>
                  <w:rFonts w:ascii="Cambria Math" w:hAnsi="Cambria Math"/>
                </w:rPr>
                <m:t xml:space="preserve">20 787</m:t>
              </m:r>
            </m:num>
            <m:den>
              <m:r>
                <m:rPr>
                  <m:sty m:val="p"/>
                </m:rPr>
                <w:rPr>
                  <w:rFonts w:ascii="Cambria Math" w:hAnsi="Cambria Math"/>
                </w:rPr>
                <m:t xml:space="preserve">131 072</m:t>
              </m:r>
            </m:den>
          </m:f>
          <m:r>
            <m:rPr>
              <m:sty m:val="p"/>
            </m:rPr>
            <w:rPr>
              <w:rFonts w:ascii="Cambria Math" w:hAnsi="Cambria Math"/>
            </w:rPr>
            <m:t xml:space="preserve"> = 15,86 %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Défauts de crédits absorbables = </m:t>
          </m:r>
          <m:f>
            <m:num>
              <m:r>
                <m:rPr>
                  <m:sty m:val="p"/>
                </m:rPr>
                <w:rPr>
                  <w:rFonts w:ascii="Cambria Math" w:hAnsi="Cambria Math"/>
                </w:rPr>
                <m:t xml:space="preserve">24 381</m:t>
              </m:r>
            </m:num>
            <m:den>
              <m:r>
                <m:rPr>
                  <m:sty m:val="p"/>
                </m:rPr>
                <w:rPr>
                  <w:rFonts w:ascii="Cambria Math" w:hAnsi="Cambria Math"/>
                </w:rPr>
                <m:t xml:space="preserve">130 602</m:t>
              </m:r>
            </m:den>
          </m:f>
          <m:r>
            <m:rPr>
              <m:sty m:val="p"/>
            </m:rPr>
            <w:rPr>
              <w:rFonts w:ascii="Cambria Math" w:hAnsi="Cambria Math"/>
            </w:rPr>
            <m:t xml:space="preserve"> = 18,67 %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Défauts de crédits absorbables = </m:t>
          </m:r>
          <m:f>
            <m:num>
              <m:r>
                <m:rPr>
                  <m:sty m:val="p"/>
                </m:rPr>
                <w:rPr>
                  <w:rFonts w:ascii="Cambria Math" w:hAnsi="Cambria Math"/>
                </w:rPr>
                <m:t xml:space="preserve">27 289</m:t>
              </m:r>
            </m:num>
            <m:den>
              <m:r>
                <m:rPr>
                  <m:sty m:val="p"/>
                </m:rPr>
                <w:rPr>
                  <w:rFonts w:ascii="Cambria Math" w:hAnsi="Cambria Math"/>
                </w:rPr>
                <m:t xml:space="preserve">150 766</m:t>
              </m:r>
            </m:den>
          </m:f>
          <m:r>
            <m:rPr>
              <m:sty m:val="p"/>
            </m:rPr>
            <w:rPr>
              <w:rFonts w:ascii="Cambria Math" w:hAnsi="Cambria Math"/>
            </w:rPr>
            <m:t xml:space="preserve"> = 18,10 %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15,86 %</w:t>
            </w:r>
          </w:p>
        </w:tc>
        <w:tc>
          <w:tcPr>
            <w:tcW w:w="2506" w:type="dxa"/>
          </w:tcPr>
          <w:p>
            <w:pPr>
              <w:spacing w:after="0"/>
              <w:jc w:val="right"/>
            </w:pPr>
            <w:r>
              <w:rPr>
                <w:sz w:val="18"/>
                <w:szCs w:val="18"/>
              </w:rPr>
              <w:t xml:space="preserve">18,67 %</w:t>
            </w:r>
          </w:p>
        </w:tc>
        <w:tc>
          <w:tcPr>
            <w:tcW w:w="2506" w:type="dxa"/>
          </w:tcPr>
          <w:p>
            <w:pPr>
              <w:spacing w:after="0"/>
              <w:jc w:val="right"/>
            </w:pPr>
            <w:r>
              <w:rPr>
                <w:sz w:val="18"/>
                <w:szCs w:val="18"/>
              </w:rPr>
              <w:t xml:space="preserve">18,10 %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24.png"/>
                    <pic:cNvPicPr/>
                  </pic:nvPicPr>
                  <pic:blipFill>
                    <a:blip r:embed="rIdImg24"/>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24 – Défauts de crédits absorbables par exercice</w:t>
      </w:r>
    </w:p>
    <w:p>
      <w:r>
        <w:t xml:space="preserve">Passe de </w:t>
      </w:r>
      <w:r>
        <w:rPr>
          <w:b/>
        </w:rPr>
        <w:t xml:space="preserve">15,86 %</w:t>
      </w:r>
      <w:r>
        <w:t xml:space="preserve"> en 2021 à </w:t>
      </w:r>
      <w:r>
        <w:rPr>
          <w:b/>
        </w:rPr>
        <w:t xml:space="preserve">18,10 %</w:t>
      </w:r>
      <w:r>
        <w:t xml:space="preserve"> en 2023 (+2,24 pt), avec une hausse en 2022 puis une baisse en 2023. Il suffirait que 18,1 % des crédits clientèle soient perdus pour effacer les fonds propres.</w:t>
      </w:r>
    </w:p>
    <w:p>
      <w:pPr>
        <w:pStyle w:val="Heading3"/>
        <w:keepNext/>
      </w:pPr>
      <w:r>
        <w:t xml:space="preserve">Perte avant passage sous le seuil de solvabilité</w:t>
      </w:r>
    </w:p>
    <w:p>
      <w:pPr>
        <w:spacing w:after="60"/>
      </w:pPr>
      <w:r>
        <w:rPr>
          <w:i/>
          <w:color w:val="6B7770"/>
          <w:sz w:val="17"/>
          <w:szCs w:val="17"/>
        </w:rPr>
        <w:t xml:space="preserve">Bâle III</w:t>
      </w:r>
    </w:p>
    <w:p>
      <w:r>
        <w:rPr>
          <w:sz w:val="19"/>
          <w:szCs w:val="19"/>
        </w:rPr>
        <w:t xml:space="preserve">Perte que la banque peut subir avant que son ratio de solvabilité global ne tombe sous le minimum UMOA. Solution de (FP − L) / (RWA − L) = seuil, en supposant que la perte porte sur des actifs pondérés à 100 %.</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Perte avant passage sous le seuil de solvabilité = </m:t>
          </m:r>
          <m:f>
            <m:num>
              <m:r>
                <m:rPr>
                  <m:sty m:val="p"/>
                </m:rPr>
                <w:rPr>
                  <w:rFonts w:ascii="Cambria Math" w:hAnsi="Cambria Math"/>
                </w:rPr>
                <m:t xml:space="preserve"/>
              </m:r>
              <m:r>
                <m:rPr>
                  <m:sty m:val="p"/>
                </m:rPr>
                <w:rPr>
                  <w:rFonts w:ascii="Cambria Math" w:hAnsi="Cambria Math"/>
                </w:rPr>
                <m:t xml:space="preserve">Fonds propres effectifs</m:t>
              </m:r>
              <m:r>
                <m:rPr>
                  <m:sty m:val="p"/>
                </m:rPr>
                <w:rPr>
                  <w:rFonts w:ascii="Cambria Math" w:hAnsi="Cambria Math"/>
                </w:rPr>
                <m:t xml:space="preserve"> − </m:t>
              </m:r>
              <m:r>
                <m:rPr>
                  <m:sty m:val="p"/>
                </m:rPr>
                <w:rPr>
                  <w:rFonts w:ascii="Cambria Math" w:hAnsi="Cambria Math"/>
                </w:rPr>
                <m:t xml:space="preserve">11,5 %</m:t>
              </m:r>
              <m:r>
                <m:rPr>
                  <m:sty m:val="p"/>
                </m:rPr>
                <w:rPr>
                  <w:rFonts w:ascii="Cambria Math" w:hAnsi="Cambria Math"/>
                </w:rPr>
                <m:t xml:space="preserve"> × </m:t>
              </m:r>
              <m:r>
                <m:rPr>
                  <m:sty m:val="p"/>
                </m:rPr>
                <w:rPr>
                  <w:rFonts w:ascii="Cambria Math" w:hAnsi="Cambria Math"/>
                </w:rPr>
                <m:t xml:space="preserve">RWA</m:t>
              </m:r>
            </m:num>
            <m:den>
              <m:r>
                <m:rPr>
                  <m:sty m:val="p"/>
                </m:rPr>
                <w:rPr>
                  <w:rFonts w:ascii="Cambria Math" w:hAnsi="Cambria Math"/>
                </w:rPr>
                <m:t xml:space="preserve"/>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11,5 %</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Perte avant passage sous le seuil de solvabilité = </m:t>
          </m:r>
          <m:f>
            <m:num>
              <m:r>
                <m:rPr>
                  <m:sty m:val="p"/>
                </m:rPr>
                <w:rPr>
                  <w:rFonts w:ascii="Cambria Math" w:hAnsi="Cambria Math"/>
                </w:rPr>
                <m:t xml:space="preserve"/>
              </m:r>
              <m:r>
                <m:rPr>
                  <m:sty m:val="p"/>
                </m:rPr>
                <w:rPr>
                  <w:rFonts w:ascii="Cambria Math" w:hAnsi="Cambria Math"/>
                </w:rPr>
                <m:t xml:space="preserve">22 368</m:t>
              </m:r>
              <m:r>
                <m:rPr>
                  <m:sty m:val="p"/>
                </m:rPr>
                <w:rPr>
                  <w:rFonts w:ascii="Cambria Math" w:hAnsi="Cambria Math"/>
                </w:rPr>
                <m:t xml:space="preserve"> − </m:t>
              </m:r>
              <m:r>
                <m:rPr>
                  <m:sty m:val="p"/>
                </m:rPr>
                <w:rPr>
                  <w:rFonts w:ascii="Cambria Math" w:hAnsi="Cambria Math"/>
                </w:rPr>
                <m:t xml:space="preserve">11,5 %</m:t>
              </m:r>
              <m:r>
                <m:rPr>
                  <m:sty m:val="p"/>
                </m:rPr>
                <w:rPr>
                  <w:rFonts w:ascii="Cambria Math" w:hAnsi="Cambria Math"/>
                </w:rPr>
                <m:t xml:space="preserve"> × </m:t>
              </m:r>
              <m:r>
                <m:rPr>
                  <m:sty m:val="p"/>
                </m:rPr>
                <w:rPr>
                  <w:rFonts w:ascii="Cambria Math" w:hAnsi="Cambria Math"/>
                </w:rPr>
                <m:t xml:space="preserve">232 664</m:t>
              </m:r>
            </m:num>
            <m:den>
              <m:r>
                <m:rPr>
                  <m:sty m:val="p"/>
                </m:rPr>
                <w:rPr>
                  <w:rFonts w:ascii="Cambria Math" w:hAnsi="Cambria Math"/>
                </w:rPr>
                <m:t xml:space="preserve"/>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11,5 %</m:t>
              </m:r>
            </m:den>
          </m:f>
          <m:r>
            <m:rPr>
              <m:sty m:val="p"/>
            </m:rPr>
            <w:rPr>
              <w:rFonts w:ascii="Cambria Math" w:hAnsi="Cambria Math"/>
            </w:rPr>
            <m:t xml:space="preserve"> = −4 959</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Perte avant passage sous le seuil de solvabilité = </m:t>
          </m:r>
          <m:f>
            <m:num>
              <m:r>
                <m:rPr>
                  <m:sty m:val="p"/>
                </m:rPr>
                <w:rPr>
                  <w:rFonts w:ascii="Cambria Math" w:hAnsi="Cambria Math"/>
                </w:rPr>
                <m:t xml:space="preserve"/>
              </m:r>
              <m:r>
                <m:rPr>
                  <m:sty m:val="p"/>
                </m:rPr>
                <w:rPr>
                  <w:rFonts w:ascii="Cambria Math" w:hAnsi="Cambria Math"/>
                </w:rPr>
                <m:t xml:space="preserve">25 905</m:t>
              </m:r>
              <m:r>
                <m:rPr>
                  <m:sty m:val="p"/>
                </m:rPr>
                <w:rPr>
                  <w:rFonts w:ascii="Cambria Math" w:hAnsi="Cambria Math"/>
                </w:rPr>
                <m:t xml:space="preserve"> − </m:t>
              </m:r>
              <m:r>
                <m:rPr>
                  <m:sty m:val="p"/>
                </m:rPr>
                <w:rPr>
                  <w:rFonts w:ascii="Cambria Math" w:hAnsi="Cambria Math"/>
                </w:rPr>
                <m:t xml:space="preserve">11,5 %</m:t>
              </m:r>
              <m:r>
                <m:rPr>
                  <m:sty m:val="p"/>
                </m:rPr>
                <w:rPr>
                  <w:rFonts w:ascii="Cambria Math" w:hAnsi="Cambria Math"/>
                </w:rPr>
                <m:t xml:space="preserve"> × </m:t>
              </m:r>
              <m:r>
                <m:rPr>
                  <m:sty m:val="p"/>
                </m:rPr>
                <w:rPr>
                  <w:rFonts w:ascii="Cambria Math" w:hAnsi="Cambria Math"/>
                </w:rPr>
                <m:t xml:space="preserve">226 068</m:t>
              </m:r>
            </m:num>
            <m:den>
              <m:r>
                <m:rPr>
                  <m:sty m:val="p"/>
                </m:rPr>
                <w:rPr>
                  <w:rFonts w:ascii="Cambria Math" w:hAnsi="Cambria Math"/>
                </w:rPr>
                <m:t xml:space="preserve"/>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11,5 %</m:t>
              </m:r>
            </m:den>
          </m:f>
          <m:r>
            <m:rPr>
              <m:sty m:val="p"/>
            </m:rPr>
            <w:rPr>
              <w:rFonts w:ascii="Cambria Math" w:hAnsi="Cambria Math"/>
            </w:rPr>
            <m:t xml:space="preserve"> = −105</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Perte avant passage sous le seuil de solvabilité = </m:t>
          </m:r>
          <m:f>
            <m:num>
              <m:r>
                <m:rPr>
                  <m:sty m:val="p"/>
                </m:rPr>
                <w:rPr>
                  <w:rFonts w:ascii="Cambria Math" w:hAnsi="Cambria Math"/>
                </w:rPr>
                <m:t xml:space="preserve"/>
              </m:r>
              <m:r>
                <m:rPr>
                  <m:sty m:val="p"/>
                </m:rPr>
                <w:rPr>
                  <w:rFonts w:ascii="Cambria Math" w:hAnsi="Cambria Math"/>
                </w:rPr>
                <m:t xml:space="preserve">28 812</m:t>
              </m:r>
              <m:r>
                <m:rPr>
                  <m:sty m:val="p"/>
                </m:rPr>
                <w:rPr>
                  <w:rFonts w:ascii="Cambria Math" w:hAnsi="Cambria Math"/>
                </w:rPr>
                <m:t xml:space="preserve"> − </m:t>
              </m:r>
              <m:r>
                <m:rPr>
                  <m:sty m:val="p"/>
                </m:rPr>
                <w:rPr>
                  <w:rFonts w:ascii="Cambria Math" w:hAnsi="Cambria Math"/>
                </w:rPr>
                <m:t xml:space="preserve">11,5 %</m:t>
              </m:r>
              <m:r>
                <m:rPr>
                  <m:sty m:val="p"/>
                </m:rPr>
                <w:rPr>
                  <w:rFonts w:ascii="Cambria Math" w:hAnsi="Cambria Math"/>
                </w:rPr>
                <m:t xml:space="preserve"> × </m:t>
              </m:r>
              <m:r>
                <m:rPr>
                  <m:sty m:val="p"/>
                </m:rPr>
                <w:rPr>
                  <w:rFonts w:ascii="Cambria Math" w:hAnsi="Cambria Math"/>
                </w:rPr>
                <m:t xml:space="preserve">237 172</m:t>
              </m:r>
            </m:num>
            <m:den>
              <m:r>
                <m:rPr>
                  <m:sty m:val="p"/>
                </m:rPr>
                <w:rPr>
                  <w:rFonts w:ascii="Cambria Math" w:hAnsi="Cambria Math"/>
                </w:rPr>
                <m:t xml:space="preserve"/>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11,5 %</m:t>
              </m:r>
            </m:den>
          </m:f>
          <m:r>
            <m:rPr>
              <m:sty m:val="p"/>
            </m:rPr>
            <w:rPr>
              <w:rFonts w:ascii="Cambria Math" w:hAnsi="Cambria Math"/>
            </w:rPr>
            <m:t xml:space="preserve"> = 1 737</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−4 959</w:t>
            </w:r>
          </w:p>
        </w:tc>
        <w:tc>
          <w:tcPr>
            <w:tcW w:w="2506" w:type="dxa"/>
          </w:tcPr>
          <w:p>
            <w:pPr>
              <w:spacing w:after="0"/>
              <w:jc w:val="right"/>
            </w:pPr>
            <w:r>
              <w:rPr>
                <w:sz w:val="18"/>
                <w:szCs w:val="18"/>
              </w:rPr>
              <w:t xml:space="preserve">−105</w:t>
            </w:r>
          </w:p>
        </w:tc>
        <w:tc>
          <w:tcPr>
            <w:tcW w:w="2506" w:type="dxa"/>
          </w:tcPr>
          <w:p>
            <w:pPr>
              <w:spacing w:after="0"/>
              <w:jc w:val="right"/>
            </w:pPr>
            <w:r>
              <w:rPr>
                <w:sz w:val="18"/>
                <w:szCs w:val="18"/>
              </w:rPr>
              <w:t xml:space="preserve">1 737</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c>
          <w:tcPr>
            <w:tcW w:w="2506" w:type="dxa"/>
          </w:tcPr>
          <w:p>
            <w:pPr>
              <w:spacing w:after="0"/>
              <w:jc w:val="right"/>
            </w:pPr>
            <w:r>
              <w:rPr>
                <w:color w:val="6B7770"/>
                <w:sz w:val="18"/>
                <w:szCs w:val="18"/>
              </w:rPr>
              <w:t xml:space="preserve"/>
            </w:r>
          </w:p>
        </w:tc>
      </w:tr>
    </w:tbl>
    <w:p>
      <w:pPr>
        <w:spacing w:after="60"/>
      </w:pPr>
    </w:p>
    <w:p>
      <w:pPr>
        <w:keepNext/>
        <w:spacing w:after="0"/>
      </w:pPr>
      <w:r>
        <w:drawing>
          <wp:inline distT="0" distB="0" distL="0" distR="0">
            <wp:extent cx="5400000" cy="2227500"/>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25.png"/>
                    <pic:cNvPicPr/>
                  </pic:nvPicPr>
                  <pic:blipFill>
                    <a:blip r:embed="rIdImg25"/>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25 – Perte avant passage sous le seuil de solvabilité par exercice</w:t>
      </w:r>
    </w:p>
    <w:p>
      <w:r>
        <w:t xml:space="preserve">Passe de </w:t>
      </w:r>
      <w:r>
        <w:rPr>
          <w:b/>
        </w:rPr>
        <w:t xml:space="preserve">−4 959</w:t>
      </w:r>
      <w:r>
        <w:t xml:space="preserve"> en 2021 à </w:t>
      </w:r>
      <w:r>
        <w:rPr>
          <w:b/>
        </w:rPr>
        <w:t xml:space="preserve">1 737</w:t>
      </w:r>
      <w:r>
        <w:t xml:space="preserve"> en 2023 (+6 696 M), hausse continue sur la période. Au-delà de 1 737 M de pertes, la banque passe sous le minimum de solvabilité UMOA.</w:t>
      </w:r>
    </w:p>
    <w:p>
      <w:pPr>
        <w:pStyle w:val="Heading1"/>
        <w:keepNext/>
        <w:pageBreakBefore/>
      </w:pPr>
      <w:r>
        <w:t xml:space="preserve">6. Bâle III : fonds propres et actifs pondérés</w:t>
      </w:r>
    </w:p>
    <w:p>
      <w:r>
        <w:t xml:space="preserve">Sans les états réglementaires, les fonds propres et les actifs pondérés sont estimés à partir du bilan : approche standard simplifiée pour le risque de crédit et approche indicateur de base pour le risque opérationnel. Les chiffres déclarés, lorsqu’ils sont saisis, remplacent ces estimations.</w:t>
      </w:r>
    </w:p>
    <w:p>
      <w:pPr>
        <w:pStyle w:val="Heading2"/>
        <w:keepNext/>
      </w:pPr>
      <w:r>
        <w:t xml:space="preserve">Fonds propres</w:t>
      </w:r>
    </w:p>
    <w:tbl>
      <w:tblPr>
        <w:tblStyle w:val="Grille"/>
        <w:tblW w:w="5000" w:type="pct"/>
        <w:tblLayout w:type="autofit"/>
      </w:tblPr>
      <w:tblGrid>
        <w:gridCol w:w="3855"/>
        <w:gridCol w:w="1928"/>
        <w:gridCol w:w="1928"/>
        <w:gridCol w:w="1928"/>
      </w:tblGrid>
      <w:tr>
        <w:trPr>
          <w:tblHeader/>
          <w:cantSplit/>
        </w:trPr>
        <w:tc>
          <w:tcPr>
            <w:tcW w:w="3855" w:type="dxa"/>
            <w:shd w:val="clear" w:color="auto" w:fill="E8EDE8"/>
          </w:tcPr>
          <w:p>
            <w:pPr>
              <w:spacing w:after="0"/>
              <w:jc w:val="left"/>
            </w:pPr>
            <w:r>
              <w:rPr>
                <w:b/>
                <w:sz w:val="17"/>
                <w:szCs w:val="17"/>
              </w:rPr>
              <w:t xml:space="preserve">Composante</w:t>
            </w:r>
          </w:p>
        </w:tc>
        <w:tc>
          <w:tcPr>
            <w:tcW w:w="1928" w:type="dxa"/>
            <w:shd w:val="clear" w:color="auto" w:fill="E8EDE8"/>
          </w:tcPr>
          <w:p>
            <w:pPr>
              <w:spacing w:after="0"/>
              <w:jc w:val="right"/>
            </w:pPr>
            <w:r>
              <w:rPr>
                <w:b/>
                <w:sz w:val="17"/>
                <w:szCs w:val="17"/>
              </w:rPr>
              <w:t xml:space="preserve">2021</w:t>
            </w:r>
          </w:p>
        </w:tc>
        <w:tc>
          <w:tcPr>
            <w:tcW w:w="1928" w:type="dxa"/>
            <w:shd w:val="clear" w:color="auto" w:fill="E8EDE8"/>
          </w:tcPr>
          <w:p>
            <w:pPr>
              <w:spacing w:after="0"/>
              <w:jc w:val="right"/>
            </w:pPr>
            <w:r>
              <w:rPr>
                <w:b/>
                <w:sz w:val="17"/>
                <w:szCs w:val="17"/>
              </w:rPr>
              <w:t xml:space="preserve">2022</w:t>
            </w:r>
          </w:p>
        </w:tc>
        <w:tc>
          <w:tcPr>
            <w:tcW w:w="1928" w:type="dxa"/>
            <w:shd w:val="clear" w:color="auto" w:fill="E8EDE8"/>
          </w:tcPr>
          <w:p>
            <w:pPr>
              <w:spacing w:after="0"/>
              <w:jc w:val="right"/>
            </w:pPr>
            <w:r>
              <w:rPr>
                <w:b/>
                <w:sz w:val="17"/>
                <w:szCs w:val="17"/>
              </w:rPr>
              <w:t xml:space="preserve">2023</w:t>
            </w:r>
          </w:p>
        </w:tc>
      </w:tr>
      <w:tr>
        <w:trPr>
          <w:cantSplit/>
        </w:trPr>
        <w:tc>
          <w:tcPr>
            <w:tcW w:w="3855" w:type="dxa"/>
          </w:tcPr>
          <w:p>
            <w:pPr>
              <w:spacing w:after="0"/>
              <w:jc w:val="left"/>
            </w:pPr>
            <w:r>
              <w:rPr>
                <w:sz w:val="18"/>
                <w:szCs w:val="18"/>
              </w:rPr>
              <w:t xml:space="preserve">+ Capital souscrit</w:t>
            </w:r>
          </w:p>
        </w:tc>
        <w:tc>
          <w:tcPr>
            <w:tcW w:w="1928" w:type="dxa"/>
          </w:tcPr>
          <w:p>
            <w:pPr>
              <w:spacing w:after="0"/>
              <w:jc w:val="right"/>
            </w:pPr>
            <w:r>
              <w:rPr>
                <w:sz w:val="18"/>
                <w:szCs w:val="18"/>
              </w:rPr>
              <w:t xml:space="preserve">28 000</w:t>
            </w:r>
          </w:p>
        </w:tc>
        <w:tc>
          <w:tcPr>
            <w:tcW w:w="1928" w:type="dxa"/>
          </w:tcPr>
          <w:p>
            <w:pPr>
              <w:spacing w:after="0"/>
              <w:jc w:val="right"/>
            </w:pPr>
            <w:r>
              <w:rPr>
                <w:sz w:val="18"/>
                <w:szCs w:val="18"/>
              </w:rPr>
              <w:t xml:space="preserve">28 000</w:t>
            </w:r>
          </w:p>
        </w:tc>
        <w:tc>
          <w:tcPr>
            <w:tcW w:w="1928" w:type="dxa"/>
          </w:tcPr>
          <w:p>
            <w:pPr>
              <w:spacing w:after="0"/>
              <w:jc w:val="right"/>
            </w:pPr>
            <w:r>
              <w:rPr>
                <w:sz w:val="18"/>
                <w:szCs w:val="18"/>
              </w:rPr>
              <w:t xml:space="preserve">20 563</w:t>
            </w:r>
          </w:p>
        </w:tc>
      </w:tr>
      <w:tr>
        <w:trPr>
          <w:cantSplit/>
        </w:trPr>
        <w:tc>
          <w:tcPr>
            <w:tcW w:w="3855" w:type="dxa"/>
          </w:tcPr>
          <w:p>
            <w:pPr>
              <w:spacing w:after="0"/>
              <w:jc w:val="left"/>
            </w:pPr>
            <w:r>
              <w:rPr>
                <w:sz w:val="18"/>
                <w:szCs w:val="18"/>
              </w:rPr>
              <w:t xml:space="preserve">+ Primes liées au capital</w:t>
            </w:r>
          </w:p>
        </w:tc>
        <w:tc>
          <w:tcPr>
            <w:tcW w:w="1928" w:type="dxa"/>
          </w:tcPr>
          <w:p>
            <w:pPr>
              <w:spacing w:after="0"/>
              <w:jc w:val="right"/>
            </w:pPr>
            <w:r>
              <w:rPr>
                <w:sz w:val="18"/>
                <w:szCs w:val="18"/>
              </w:rPr>
              <w:t xml:space="preserve">0</w:t>
            </w:r>
          </w:p>
        </w:tc>
        <w:tc>
          <w:tcPr>
            <w:tcW w:w="1928" w:type="dxa"/>
          </w:tcPr>
          <w:p>
            <w:pPr>
              <w:spacing w:after="0"/>
              <w:jc w:val="right"/>
            </w:pPr>
            <w:r>
              <w:rPr>
                <w:sz w:val="18"/>
                <w:szCs w:val="18"/>
              </w:rPr>
              <w:t xml:space="preserve">0</w:t>
            </w:r>
          </w:p>
        </w:tc>
        <w:tc>
          <w:tcPr>
            <w:tcW w:w="1928" w:type="dxa"/>
          </w:tcPr>
          <w:p>
            <w:pPr>
              <w:spacing w:after="0"/>
              <w:jc w:val="right"/>
            </w:pPr>
            <w:r>
              <w:rPr>
                <w:sz w:val="18"/>
                <w:szCs w:val="18"/>
              </w:rPr>
              <w:t xml:space="preserve">0</w:t>
            </w:r>
          </w:p>
        </w:tc>
      </w:tr>
      <w:tr>
        <w:trPr>
          <w:cantSplit/>
        </w:trPr>
        <w:tc>
          <w:tcPr>
            <w:tcW w:w="3855" w:type="dxa"/>
          </w:tcPr>
          <w:p>
            <w:pPr>
              <w:spacing w:after="0"/>
              <w:jc w:val="left"/>
            </w:pPr>
            <w:r>
              <w:rPr>
                <w:sz w:val="18"/>
                <w:szCs w:val="18"/>
              </w:rPr>
              <w:t xml:space="preserve">+ Réserves</w:t>
            </w:r>
          </w:p>
        </w:tc>
        <w:tc>
          <w:tcPr>
            <w:tcW w:w="1928" w:type="dxa"/>
          </w:tcPr>
          <w:p>
            <w:pPr>
              <w:spacing w:after="0"/>
              <w:jc w:val="right"/>
            </w:pPr>
            <w:r>
              <w:rPr>
                <w:sz w:val="18"/>
                <w:szCs w:val="18"/>
              </w:rPr>
              <w:t xml:space="preserve">223</w:t>
            </w:r>
          </w:p>
        </w:tc>
        <w:tc>
          <w:tcPr>
            <w:tcW w:w="1928" w:type="dxa"/>
          </w:tcPr>
          <w:p>
            <w:pPr>
              <w:spacing w:after="0"/>
              <w:jc w:val="right"/>
            </w:pPr>
            <w:r>
              <w:rPr>
                <w:sz w:val="18"/>
                <w:szCs w:val="18"/>
              </w:rPr>
              <w:t xml:space="preserve">223</w:t>
            </w:r>
          </w:p>
        </w:tc>
        <w:tc>
          <w:tcPr>
            <w:tcW w:w="1928" w:type="dxa"/>
          </w:tcPr>
          <w:p>
            <w:pPr>
              <w:spacing w:after="0"/>
              <w:jc w:val="right"/>
            </w:pPr>
            <w:r>
              <w:rPr>
                <w:sz w:val="18"/>
                <w:szCs w:val="18"/>
              </w:rPr>
              <w:t xml:space="preserve">762</w:t>
            </w:r>
          </w:p>
        </w:tc>
      </w:tr>
      <w:tr>
        <w:trPr>
          <w:cantSplit/>
        </w:trPr>
        <w:tc>
          <w:tcPr>
            <w:tcW w:w="3855" w:type="dxa"/>
          </w:tcPr>
          <w:p>
            <w:pPr>
              <w:spacing w:after="0"/>
              <w:jc w:val="left"/>
            </w:pPr>
            <w:r>
              <w:rPr>
                <w:sz w:val="18"/>
                <w:szCs w:val="18"/>
              </w:rPr>
              <w:t xml:space="preserve">+ Provisions réglementées</w:t>
            </w:r>
          </w:p>
        </w:tc>
        <w:tc>
          <w:tcPr>
            <w:tcW w:w="1928" w:type="dxa"/>
          </w:tcPr>
          <w:p>
            <w:pPr>
              <w:spacing w:after="0"/>
              <w:jc w:val="right"/>
            </w:pPr>
            <w:r>
              <w:rPr>
                <w:sz w:val="18"/>
                <w:szCs w:val="18"/>
              </w:rPr>
              <w:t xml:space="preserve">0</w:t>
            </w:r>
          </w:p>
        </w:tc>
        <w:tc>
          <w:tcPr>
            <w:tcW w:w="1928" w:type="dxa"/>
          </w:tcPr>
          <w:p>
            <w:pPr>
              <w:spacing w:after="0"/>
              <w:jc w:val="right"/>
            </w:pPr>
            <w:r>
              <w:rPr>
                <w:sz w:val="18"/>
                <w:szCs w:val="18"/>
              </w:rPr>
              <w:t xml:space="preserve">0</w:t>
            </w:r>
          </w:p>
        </w:tc>
        <w:tc>
          <w:tcPr>
            <w:tcW w:w="1928" w:type="dxa"/>
          </w:tcPr>
          <w:p>
            <w:pPr>
              <w:spacing w:after="0"/>
              <w:jc w:val="right"/>
            </w:pPr>
            <w:r>
              <w:rPr>
                <w:sz w:val="18"/>
                <w:szCs w:val="18"/>
              </w:rPr>
              <w:t xml:space="preserve">0</w:t>
            </w:r>
          </w:p>
        </w:tc>
      </w:tr>
      <w:tr>
        <w:trPr>
          <w:cantSplit/>
        </w:trPr>
        <w:tc>
          <w:tcPr>
            <w:tcW w:w="3855" w:type="dxa"/>
          </w:tcPr>
          <w:p>
            <w:pPr>
              <w:spacing w:after="0"/>
              <w:jc w:val="left"/>
            </w:pPr>
            <w:r>
              <w:rPr>
                <w:sz w:val="18"/>
                <w:szCs w:val="18"/>
              </w:rPr>
              <w:t xml:space="preserve">+ Report à nouveau (+/−)</w:t>
            </w:r>
          </w:p>
        </w:tc>
        <w:tc>
          <w:tcPr>
            <w:tcW w:w="1928" w:type="dxa"/>
          </w:tcPr>
          <w:p>
            <w:pPr>
              <w:spacing w:after="0"/>
              <w:jc w:val="right"/>
            </w:pPr>
            <w:r>
              <w:rPr>
                <w:sz w:val="18"/>
                <w:szCs w:val="18"/>
              </w:rPr>
              <w:t xml:space="preserve">−10 548</w:t>
            </w:r>
          </w:p>
        </w:tc>
        <w:tc>
          <w:tcPr>
            <w:tcW w:w="1928" w:type="dxa"/>
          </w:tcPr>
          <w:p>
            <w:pPr>
              <w:spacing w:after="0"/>
              <w:jc w:val="right"/>
            </w:pPr>
            <w:r>
              <w:rPr>
                <w:sz w:val="18"/>
                <w:szCs w:val="18"/>
              </w:rPr>
              <w:t xml:space="preserve">−7 437</w:t>
            </w:r>
          </w:p>
        </w:tc>
        <w:tc>
          <w:tcPr>
            <w:tcW w:w="1928" w:type="dxa"/>
          </w:tcPr>
          <w:p>
            <w:pPr>
              <w:spacing w:after="0"/>
              <w:jc w:val="right"/>
            </w:pPr>
            <w:r>
              <w:rPr>
                <w:sz w:val="18"/>
                <w:szCs w:val="18"/>
              </w:rPr>
              <w:t xml:space="preserve">3 056</w:t>
            </w:r>
          </w:p>
        </w:tc>
      </w:tr>
      <w:tr>
        <w:trPr>
          <w:cantSplit/>
        </w:trPr>
        <w:tc>
          <w:tcPr>
            <w:tcW w:w="3855" w:type="dxa"/>
          </w:tcPr>
          <w:p>
            <w:pPr>
              <w:spacing w:after="0"/>
              <w:jc w:val="left"/>
            </w:pPr>
            <w:r>
              <w:rPr>
                <w:sz w:val="18"/>
                <w:szCs w:val="18"/>
              </w:rPr>
              <w:t xml:space="preserve">+ Résultat de l'exercice (+/−)</w:t>
            </w:r>
          </w:p>
        </w:tc>
        <w:tc>
          <w:tcPr>
            <w:tcW w:w="1928" w:type="dxa"/>
          </w:tcPr>
          <w:p>
            <w:pPr>
              <w:spacing w:after="0"/>
              <w:jc w:val="right"/>
            </w:pPr>
            <w:r>
              <w:rPr>
                <w:sz w:val="18"/>
                <w:szCs w:val="18"/>
              </w:rPr>
              <w:t xml:space="preserve">3 112</w:t>
            </w:r>
          </w:p>
        </w:tc>
        <w:tc>
          <w:tcPr>
            <w:tcW w:w="1928" w:type="dxa"/>
          </w:tcPr>
          <w:p>
            <w:pPr>
              <w:spacing w:after="0"/>
              <w:jc w:val="right"/>
            </w:pPr>
            <w:r>
              <w:rPr>
                <w:sz w:val="18"/>
                <w:szCs w:val="18"/>
              </w:rPr>
              <w:t xml:space="preserve">3 595</w:t>
            </w:r>
          </w:p>
        </w:tc>
        <w:tc>
          <w:tcPr>
            <w:tcW w:w="1928" w:type="dxa"/>
          </w:tcPr>
          <w:p>
            <w:pPr>
              <w:spacing w:after="0"/>
              <w:jc w:val="right"/>
            </w:pPr>
            <w:r>
              <w:rPr>
                <w:sz w:val="18"/>
                <w:szCs w:val="18"/>
              </w:rPr>
              <w:t xml:space="preserve">2 908</w:t>
            </w:r>
          </w:p>
        </w:tc>
      </w:tr>
      <w:tr>
        <w:trPr>
          <w:cantSplit/>
        </w:trPr>
        <w:tc>
          <w:tcPr>
            <w:tcW w:w="3855" w:type="dxa"/>
          </w:tcPr>
          <w:p>
            <w:pPr>
              <w:spacing w:after="0"/>
              <w:jc w:val="left"/>
            </w:pPr>
            <w:r>
              <w:rPr>
                <w:sz w:val="18"/>
                <w:szCs w:val="18"/>
              </w:rPr>
              <w:t xml:space="preserve">− Immobilisations incorporelles</w:t>
            </w:r>
          </w:p>
        </w:tc>
        <w:tc>
          <w:tcPr>
            <w:tcW w:w="1928" w:type="dxa"/>
          </w:tcPr>
          <w:p>
            <w:pPr>
              <w:spacing w:after="0"/>
              <w:jc w:val="right"/>
            </w:pPr>
            <w:r>
              <w:rPr>
                <w:sz w:val="18"/>
                <w:szCs w:val="18"/>
              </w:rPr>
              <w:t xml:space="preserve">−2</w:t>
            </w:r>
          </w:p>
        </w:tc>
        <w:tc>
          <w:tcPr>
            <w:tcW w:w="1928" w:type="dxa"/>
          </w:tcPr>
          <w:p>
            <w:pPr>
              <w:spacing w:after="0"/>
              <w:jc w:val="right"/>
            </w:pPr>
            <w:r>
              <w:rPr>
                <w:sz w:val="18"/>
                <w:szCs w:val="18"/>
              </w:rPr>
              <w:t xml:space="preserve">−59</w:t>
            </w:r>
          </w:p>
        </w:tc>
        <w:tc>
          <w:tcPr>
            <w:tcW w:w="1928" w:type="dxa"/>
          </w:tcPr>
          <w:p>
            <w:pPr>
              <w:spacing w:after="0"/>
              <w:jc w:val="right"/>
            </w:pPr>
            <w:r>
              <w:rPr>
                <w:sz w:val="18"/>
                <w:szCs w:val="18"/>
              </w:rPr>
              <w:t xml:space="preserve">−61</w:t>
            </w:r>
          </w:p>
        </w:tc>
      </w:tr>
      <w:tr>
        <w:trPr>
          <w:cantSplit/>
        </w:trPr>
        <w:tc>
          <w:tcPr>
            <w:tcW w:w="3855" w:type="dxa"/>
            <w:shd w:val="clear" w:color="auto" w:fill="F5F7F5"/>
          </w:tcPr>
          <w:p>
            <w:pPr>
              <w:spacing w:after="0"/>
              <w:jc w:val="left"/>
            </w:pPr>
            <w:r>
              <w:rPr>
                <w:b/>
                <w:sz w:val="18"/>
                <w:szCs w:val="18"/>
              </w:rPr>
              <w:t xml:space="preserve">= CET1</w:t>
            </w:r>
          </w:p>
        </w:tc>
        <w:tc>
          <w:tcPr>
            <w:tcW w:w="1928" w:type="dxa"/>
            <w:shd w:val="clear" w:color="auto" w:fill="F5F7F5"/>
          </w:tcPr>
          <w:p>
            <w:pPr>
              <w:spacing w:after="0"/>
              <w:jc w:val="right"/>
            </w:pPr>
            <w:r>
              <w:rPr>
                <w:b/>
                <w:sz w:val="18"/>
                <w:szCs w:val="18"/>
              </w:rPr>
              <w:t xml:space="preserve">20 785</w:t>
            </w:r>
          </w:p>
        </w:tc>
        <w:tc>
          <w:tcPr>
            <w:tcW w:w="1928" w:type="dxa"/>
            <w:shd w:val="clear" w:color="auto" w:fill="F5F7F5"/>
          </w:tcPr>
          <w:p>
            <w:pPr>
              <w:spacing w:after="0"/>
              <w:jc w:val="right"/>
            </w:pPr>
            <w:r>
              <w:rPr>
                <w:b/>
                <w:sz w:val="18"/>
                <w:szCs w:val="18"/>
              </w:rPr>
              <w:t xml:space="preserve">24 322</w:t>
            </w:r>
          </w:p>
        </w:tc>
        <w:tc>
          <w:tcPr>
            <w:tcW w:w="1928" w:type="dxa"/>
            <w:shd w:val="clear" w:color="auto" w:fill="F5F7F5"/>
          </w:tcPr>
          <w:p>
            <w:pPr>
              <w:spacing w:after="0"/>
              <w:jc w:val="right"/>
            </w:pPr>
            <w:r>
              <w:rPr>
                <w:b/>
                <w:sz w:val="18"/>
                <w:szCs w:val="18"/>
              </w:rPr>
              <w:t xml:space="preserve">27 228</w:t>
            </w:r>
          </w:p>
        </w:tc>
      </w:tr>
      <w:tr>
        <w:trPr>
          <w:cantSplit/>
        </w:trPr>
        <w:tc>
          <w:tcPr>
            <w:tcW w:w="3855" w:type="dxa"/>
          </w:tcPr>
          <w:p>
            <w:pPr>
              <w:spacing w:after="0"/>
              <w:jc w:val="left"/>
            </w:pPr>
            <w:r>
              <w:rPr>
                <w:sz w:val="18"/>
                <w:szCs w:val="18"/>
              </w:rPr>
              <w:t xml:space="preserve">+ Emprunts subordonnés et écarts de réévaluation (Tier 2)</w:t>
            </w:r>
          </w:p>
        </w:tc>
        <w:tc>
          <w:tcPr>
            <w:tcW w:w="1928" w:type="dxa"/>
          </w:tcPr>
          <w:p>
            <w:pPr>
              <w:spacing w:after="0"/>
              <w:jc w:val="right"/>
            </w:pPr>
            <w:r>
              <w:rPr>
                <w:sz w:val="18"/>
                <w:szCs w:val="18"/>
              </w:rPr>
              <w:t xml:space="preserve">1 583</w:t>
            </w:r>
          </w:p>
        </w:tc>
        <w:tc>
          <w:tcPr>
            <w:tcW w:w="1928" w:type="dxa"/>
          </w:tcPr>
          <w:p>
            <w:pPr>
              <w:spacing w:after="0"/>
              <w:jc w:val="right"/>
            </w:pPr>
            <w:r>
              <w:rPr>
                <w:sz w:val="18"/>
                <w:szCs w:val="18"/>
              </w:rPr>
              <w:t xml:space="preserve">1 583</w:t>
            </w:r>
          </w:p>
        </w:tc>
        <w:tc>
          <w:tcPr>
            <w:tcW w:w="1928" w:type="dxa"/>
          </w:tcPr>
          <w:p>
            <w:pPr>
              <w:spacing w:after="0"/>
              <w:jc w:val="right"/>
            </w:pPr>
            <w:r>
              <w:rPr>
                <w:sz w:val="18"/>
                <w:szCs w:val="18"/>
              </w:rPr>
              <w:t xml:space="preserve">1 584</w:t>
            </w:r>
          </w:p>
        </w:tc>
      </w:tr>
      <w:tr>
        <w:trPr>
          <w:cantSplit/>
        </w:trPr>
        <w:tc>
          <w:tcPr>
            <w:tcW w:w="3855" w:type="dxa"/>
            <w:shd w:val="clear" w:color="auto" w:fill="F5F7F5"/>
          </w:tcPr>
          <w:p>
            <w:pPr>
              <w:spacing w:after="0"/>
              <w:jc w:val="left"/>
            </w:pPr>
            <w:r>
              <w:rPr>
                <w:b/>
                <w:sz w:val="18"/>
                <w:szCs w:val="18"/>
              </w:rPr>
              <w:t xml:space="preserve">= Fonds propres effectifs</w:t>
            </w:r>
          </w:p>
        </w:tc>
        <w:tc>
          <w:tcPr>
            <w:tcW w:w="1928" w:type="dxa"/>
            <w:shd w:val="clear" w:color="auto" w:fill="F5F7F5"/>
          </w:tcPr>
          <w:p>
            <w:pPr>
              <w:spacing w:after="0"/>
              <w:jc w:val="right"/>
            </w:pPr>
            <w:r>
              <w:rPr>
                <w:b/>
                <w:sz w:val="18"/>
                <w:szCs w:val="18"/>
              </w:rPr>
              <w:t xml:space="preserve">22 368</w:t>
            </w:r>
          </w:p>
        </w:tc>
        <w:tc>
          <w:tcPr>
            <w:tcW w:w="1928" w:type="dxa"/>
            <w:shd w:val="clear" w:color="auto" w:fill="F5F7F5"/>
          </w:tcPr>
          <w:p>
            <w:pPr>
              <w:spacing w:after="0"/>
              <w:jc w:val="right"/>
            </w:pPr>
            <w:r>
              <w:rPr>
                <w:b/>
                <w:sz w:val="18"/>
                <w:szCs w:val="18"/>
              </w:rPr>
              <w:t xml:space="preserve">25 905</w:t>
            </w:r>
          </w:p>
        </w:tc>
        <w:tc>
          <w:tcPr>
            <w:tcW w:w="1928" w:type="dxa"/>
            <w:shd w:val="clear" w:color="auto" w:fill="F5F7F5"/>
          </w:tcPr>
          <w:p>
            <w:pPr>
              <w:spacing w:after="0"/>
              <w:jc w:val="right"/>
            </w:pPr>
            <w:r>
              <w:rPr>
                <w:b/>
                <w:sz w:val="18"/>
                <w:szCs w:val="18"/>
              </w:rPr>
              <w:t xml:space="preserve">28 812</w:t>
            </w:r>
          </w:p>
        </w:tc>
      </w:tr>
    </w:tbl>
    <w:p>
      <w:pPr>
        <w:spacing w:after="60"/>
      </w:pPr>
    </w:p>
    <w:p>
      <w:pPr>
        <w:pStyle w:val="Heading2"/>
        <w:keepNext/>
      </w:pPr>
      <w:r>
        <w:t xml:space="preserve">Actifs pondérés par les risques</w:t>
      </w:r>
    </w:p>
    <w:tbl>
      <w:tblPr>
        <w:tblStyle w:val="Grille"/>
        <w:tblW w:w="5000" w:type="pct"/>
        <w:tblLayout w:type="autofit"/>
      </w:tblPr>
      <w:tblGrid>
        <w:gridCol w:w="3855"/>
        <w:gridCol w:w="1928"/>
        <w:gridCol w:w="1928"/>
        <w:gridCol w:w="1928"/>
      </w:tblGrid>
      <w:tr>
        <w:trPr>
          <w:tblHeader/>
          <w:cantSplit/>
        </w:trPr>
        <w:tc>
          <w:tcPr>
            <w:tcW w:w="3855" w:type="dxa"/>
            <w:shd w:val="clear" w:color="auto" w:fill="E8EDE8"/>
          </w:tcPr>
          <w:p>
            <w:pPr>
              <w:spacing w:after="0"/>
              <w:jc w:val="left"/>
            </w:pPr>
            <w:r>
              <w:rPr>
                <w:b/>
                <w:sz w:val="17"/>
                <w:szCs w:val="17"/>
              </w:rPr>
              <w:t xml:space="preserve">Composante</w:t>
            </w:r>
          </w:p>
        </w:tc>
        <w:tc>
          <w:tcPr>
            <w:tcW w:w="1928" w:type="dxa"/>
            <w:shd w:val="clear" w:color="auto" w:fill="E8EDE8"/>
          </w:tcPr>
          <w:p>
            <w:pPr>
              <w:spacing w:after="0"/>
              <w:jc w:val="right"/>
            </w:pPr>
            <w:r>
              <w:rPr>
                <w:b/>
                <w:sz w:val="17"/>
                <w:szCs w:val="17"/>
              </w:rPr>
              <w:t xml:space="preserve">2021</w:t>
            </w:r>
          </w:p>
        </w:tc>
        <w:tc>
          <w:tcPr>
            <w:tcW w:w="1928" w:type="dxa"/>
            <w:shd w:val="clear" w:color="auto" w:fill="E8EDE8"/>
          </w:tcPr>
          <w:p>
            <w:pPr>
              <w:spacing w:after="0"/>
              <w:jc w:val="right"/>
            </w:pPr>
            <w:r>
              <w:rPr>
                <w:b/>
                <w:sz w:val="17"/>
                <w:szCs w:val="17"/>
              </w:rPr>
              <w:t xml:space="preserve">2022</w:t>
            </w:r>
          </w:p>
        </w:tc>
        <w:tc>
          <w:tcPr>
            <w:tcW w:w="1928" w:type="dxa"/>
            <w:shd w:val="clear" w:color="auto" w:fill="E8EDE8"/>
          </w:tcPr>
          <w:p>
            <w:pPr>
              <w:spacing w:after="0"/>
              <w:jc w:val="right"/>
            </w:pPr>
            <w:r>
              <w:rPr>
                <w:b/>
                <w:sz w:val="17"/>
                <w:szCs w:val="17"/>
              </w:rPr>
              <w:t xml:space="preserve">2023</w:t>
            </w:r>
          </w:p>
        </w:tc>
      </w:tr>
      <w:tr>
        <w:trPr>
          <w:cantSplit/>
        </w:trPr>
        <w:tc>
          <w:tcPr>
            <w:tcW w:w="3855" w:type="dxa"/>
          </w:tcPr>
          <w:p>
            <w:pPr>
              <w:spacing w:after="0"/>
              <w:jc w:val="left"/>
            </w:pPr>
            <w:r>
              <w:rPr>
                <w:sz w:val="18"/>
                <w:szCs w:val="18"/>
              </w:rPr>
              <w:t xml:space="preserve">RWA risque de crédit</w:t>
            </w:r>
          </w:p>
        </w:tc>
        <w:tc>
          <w:tcPr>
            <w:tcW w:w="1928" w:type="dxa"/>
          </w:tcPr>
          <w:p>
            <w:pPr>
              <w:spacing w:after="0"/>
              <w:jc w:val="right"/>
            </w:pPr>
            <w:r>
              <w:rPr>
                <w:sz w:val="18"/>
                <w:szCs w:val="18"/>
              </w:rPr>
              <w:t xml:space="preserve">201 123</w:t>
            </w:r>
          </w:p>
        </w:tc>
        <w:tc>
          <w:tcPr>
            <w:tcW w:w="1928" w:type="dxa"/>
          </w:tcPr>
          <w:p>
            <w:pPr>
              <w:spacing w:after="0"/>
              <w:jc w:val="right"/>
            </w:pPr>
            <w:r>
              <w:rPr>
                <w:sz w:val="18"/>
                <w:szCs w:val="18"/>
              </w:rPr>
              <w:t xml:space="preserve">193 920</w:t>
            </w:r>
          </w:p>
        </w:tc>
        <w:tc>
          <w:tcPr>
            <w:tcW w:w="1928" w:type="dxa"/>
          </w:tcPr>
          <w:p>
            <w:pPr>
              <w:spacing w:after="0"/>
              <w:jc w:val="right"/>
            </w:pPr>
            <w:r>
              <w:rPr>
                <w:sz w:val="18"/>
                <w:szCs w:val="18"/>
              </w:rPr>
              <w:t xml:space="preserve">203 478</w:t>
            </w:r>
          </w:p>
        </w:tc>
      </w:tr>
      <w:tr>
        <w:trPr>
          <w:cantSplit/>
        </w:trPr>
        <w:tc>
          <w:tcPr>
            <w:tcW w:w="3855" w:type="dxa"/>
          </w:tcPr>
          <w:p>
            <w:pPr>
              <w:spacing w:after="0"/>
              <w:jc w:val="left"/>
            </w:pPr>
            <w:r>
              <w:rPr>
                <w:sz w:val="18"/>
                <w:szCs w:val="18"/>
              </w:rPr>
              <w:t xml:space="preserve">RWA risque opérationnel</w:t>
            </w:r>
          </w:p>
        </w:tc>
        <w:tc>
          <w:tcPr>
            <w:tcW w:w="1928" w:type="dxa"/>
          </w:tcPr>
          <w:p>
            <w:pPr>
              <w:spacing w:after="0"/>
              <w:jc w:val="right"/>
            </w:pPr>
            <w:r>
              <w:rPr>
                <w:sz w:val="18"/>
                <w:szCs w:val="18"/>
              </w:rPr>
              <w:t xml:space="preserve">31 541</w:t>
            </w:r>
          </w:p>
        </w:tc>
        <w:tc>
          <w:tcPr>
            <w:tcW w:w="1928" w:type="dxa"/>
          </w:tcPr>
          <w:p>
            <w:pPr>
              <w:spacing w:after="0"/>
              <w:jc w:val="right"/>
            </w:pPr>
            <w:r>
              <w:rPr>
                <w:sz w:val="18"/>
                <w:szCs w:val="18"/>
              </w:rPr>
              <w:t xml:space="preserve">32 148</w:t>
            </w:r>
          </w:p>
        </w:tc>
        <w:tc>
          <w:tcPr>
            <w:tcW w:w="1928" w:type="dxa"/>
          </w:tcPr>
          <w:p>
            <w:pPr>
              <w:spacing w:after="0"/>
              <w:jc w:val="right"/>
            </w:pPr>
            <w:r>
              <w:rPr>
                <w:sz w:val="18"/>
                <w:szCs w:val="18"/>
              </w:rPr>
              <w:t xml:space="preserve">33 694</w:t>
            </w:r>
          </w:p>
        </w:tc>
      </w:tr>
      <w:tr>
        <w:trPr>
          <w:cantSplit/>
        </w:trPr>
        <w:tc>
          <w:tcPr>
            <w:tcW w:w="3855" w:type="dxa"/>
            <w:shd w:val="clear" w:color="auto" w:fill="F5F7F5"/>
          </w:tcPr>
          <w:p>
            <w:pPr>
              <w:spacing w:after="0"/>
              <w:jc w:val="left"/>
            </w:pPr>
            <w:r>
              <w:rPr>
                <w:b/>
                <w:sz w:val="18"/>
                <w:szCs w:val="18"/>
              </w:rPr>
              <w:t xml:space="preserve">Total RWA</w:t>
            </w:r>
          </w:p>
        </w:tc>
        <w:tc>
          <w:tcPr>
            <w:tcW w:w="1928" w:type="dxa"/>
            <w:shd w:val="clear" w:color="auto" w:fill="F5F7F5"/>
          </w:tcPr>
          <w:p>
            <w:pPr>
              <w:spacing w:after="0"/>
              <w:jc w:val="right"/>
            </w:pPr>
            <w:r>
              <w:rPr>
                <w:b/>
                <w:sz w:val="18"/>
                <w:szCs w:val="18"/>
              </w:rPr>
              <w:t xml:space="preserve">232 664</w:t>
            </w:r>
          </w:p>
        </w:tc>
        <w:tc>
          <w:tcPr>
            <w:tcW w:w="1928" w:type="dxa"/>
            <w:shd w:val="clear" w:color="auto" w:fill="F5F7F5"/>
          </w:tcPr>
          <w:p>
            <w:pPr>
              <w:spacing w:after="0"/>
              <w:jc w:val="right"/>
            </w:pPr>
            <w:r>
              <w:rPr>
                <w:b/>
                <w:sz w:val="18"/>
                <w:szCs w:val="18"/>
              </w:rPr>
              <w:t xml:space="preserve">226 068</w:t>
            </w:r>
          </w:p>
        </w:tc>
        <w:tc>
          <w:tcPr>
            <w:tcW w:w="1928" w:type="dxa"/>
            <w:shd w:val="clear" w:color="auto" w:fill="F5F7F5"/>
          </w:tcPr>
          <w:p>
            <w:pPr>
              <w:spacing w:after="0"/>
              <w:jc w:val="right"/>
            </w:pPr>
            <w:r>
              <w:rPr>
                <w:b/>
                <w:sz w:val="18"/>
                <w:szCs w:val="18"/>
              </w:rPr>
              <w:t xml:space="preserve">237 172</w:t>
            </w:r>
          </w:p>
        </w:tc>
      </w:tr>
      <w:tr>
        <w:trPr>
          <w:cantSplit/>
        </w:trPr>
        <w:tc>
          <w:tcPr>
            <w:tcW w:w="3855" w:type="dxa"/>
          </w:tcPr>
          <w:p>
            <w:pPr>
              <w:spacing w:after="0"/>
              <w:jc w:val="left"/>
            </w:pPr>
            <w:r>
              <w:rPr>
                <w:sz w:val="18"/>
                <w:szCs w:val="18"/>
              </w:rPr>
              <w:t xml:space="preserve">Densité (RWA / Total actif)</w:t>
            </w:r>
          </w:p>
        </w:tc>
        <w:tc>
          <w:tcPr>
            <w:tcW w:w="1928" w:type="dxa"/>
          </w:tcPr>
          <w:p>
            <w:pPr>
              <w:spacing w:after="0"/>
              <w:jc w:val="right"/>
            </w:pPr>
            <w:r>
              <w:rPr>
                <w:sz w:val="18"/>
                <w:szCs w:val="18"/>
              </w:rPr>
              <w:t xml:space="preserve">77,1 %</w:t>
            </w:r>
          </w:p>
        </w:tc>
        <w:tc>
          <w:tcPr>
            <w:tcW w:w="1928" w:type="dxa"/>
          </w:tcPr>
          <w:p>
            <w:pPr>
              <w:spacing w:after="0"/>
              <w:jc w:val="right"/>
            </w:pPr>
            <w:r>
              <w:rPr>
                <w:sz w:val="18"/>
                <w:szCs w:val="18"/>
              </w:rPr>
              <w:t xml:space="preserve">84,0 %</w:t>
            </w:r>
          </w:p>
        </w:tc>
        <w:tc>
          <w:tcPr>
            <w:tcW w:w="1928" w:type="dxa"/>
          </w:tcPr>
          <w:p>
            <w:pPr>
              <w:spacing w:after="0"/>
              <w:jc w:val="right"/>
            </w:pPr>
            <w:r>
              <w:rPr>
                <w:sz w:val="18"/>
                <w:szCs w:val="18"/>
              </w:rPr>
              <w:t xml:space="preserve">80,2 %</w:t>
            </w:r>
          </w:p>
        </w:tc>
      </w:tr>
    </w:tbl>
    <w:p>
      <w:pPr>
        <w:spacing w:after="60"/>
      </w:pPr>
    </w:p>
    <w:p>
      <w:pPr>
        <w:pStyle w:val="Heading3"/>
        <w:keepNext/>
      </w:pPr>
      <w:r>
        <w:t xml:space="preserve">Ratio de solvabilité global</w:t>
      </w:r>
    </w:p>
    <w:p>
      <w:pPr>
        <w:spacing w:after="60"/>
      </w:pPr>
      <w:r>
        <w:rPr>
          <w:i/>
          <w:color w:val="6B7770"/>
          <w:sz w:val="17"/>
          <w:szCs w:val="17"/>
        </w:rPr>
        <w:t xml:space="preserve">Bâle III · seuil ≥ 11,5 % (norme)</w:t>
      </w:r>
    </w:p>
    <w:p>
      <w:r>
        <w:rPr>
          <w:sz w:val="19"/>
          <w:szCs w:val="19"/>
        </w:rPr>
        <w:t xml:space="preserve">Fonds propres effectifs (Tier 1 + Tier 2) rapportés aux actifs pondérés par les risques de crédit et opérationnel.</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Fonds propres effectifs</m:t>
              </m:r>
            </m:num>
            <m:den>
              <m:r>
                <m:rPr>
                  <m:sty m:val="p"/>
                </m:rPr>
                <w:rPr>
                  <w:rFonts w:ascii="Cambria Math" w:hAnsi="Cambria Math"/>
                </w:rPr>
                <m:t xml:space="preserve">RWA</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22 368</m:t>
              </m:r>
            </m:num>
            <m:den>
              <m:r>
                <m:rPr>
                  <m:sty m:val="p"/>
                </m:rPr>
                <w:rPr>
                  <w:rFonts w:ascii="Cambria Math" w:hAnsi="Cambria Math"/>
                </w:rPr>
                <m:t xml:space="preserve">232 664</m:t>
              </m:r>
            </m:den>
          </m:f>
          <m:r>
            <m:rPr>
              <m:sty m:val="p"/>
            </m:rPr>
            <w:rPr>
              <w:rFonts w:ascii="Cambria Math" w:hAnsi="Cambria Math"/>
            </w:rPr>
            <m:t xml:space="preserve"> = 9,61 %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25 905</m:t>
              </m:r>
            </m:num>
            <m:den>
              <m:r>
                <m:rPr>
                  <m:sty m:val="p"/>
                </m:rPr>
                <w:rPr>
                  <w:rFonts w:ascii="Cambria Math" w:hAnsi="Cambria Math"/>
                </w:rPr>
                <m:t xml:space="preserve">226 068</m:t>
              </m:r>
            </m:den>
          </m:f>
          <m:r>
            <m:rPr>
              <m:sty m:val="p"/>
            </m:rPr>
            <w:rPr>
              <w:rFonts w:ascii="Cambria Math" w:hAnsi="Cambria Math"/>
            </w:rPr>
            <m:t xml:space="preserve"> = 11,46 %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solvabilité global = </m:t>
          </m:r>
          <m:f>
            <m:num>
              <m:r>
                <m:rPr>
                  <m:sty m:val="p"/>
                </m:rPr>
                <w:rPr>
                  <w:rFonts w:ascii="Cambria Math" w:hAnsi="Cambria Math"/>
                </w:rPr>
                <m:t xml:space="preserve">28 812</m:t>
              </m:r>
            </m:num>
            <m:den>
              <m:r>
                <m:rPr>
                  <m:sty m:val="p"/>
                </m:rPr>
                <w:rPr>
                  <w:rFonts w:ascii="Cambria Math" w:hAnsi="Cambria Math"/>
                </w:rPr>
                <m:t xml:space="preserve">237 172</m:t>
              </m:r>
            </m:den>
          </m:f>
          <m:r>
            <m:rPr>
              <m:sty m:val="p"/>
            </m:rPr>
            <w:rPr>
              <w:rFonts w:ascii="Cambria Math" w:hAnsi="Cambria Math"/>
            </w:rPr>
            <m:t xml:space="preserve"> = 12,15 %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9,61 %</w:t>
            </w:r>
          </w:p>
        </w:tc>
        <w:tc>
          <w:tcPr>
            <w:tcW w:w="2506" w:type="dxa"/>
          </w:tcPr>
          <w:p>
            <w:pPr>
              <w:spacing w:after="0"/>
              <w:jc w:val="right"/>
            </w:pPr>
            <w:r>
              <w:rPr>
                <w:sz w:val="18"/>
                <w:szCs w:val="18"/>
              </w:rPr>
              <w:t xml:space="preserve">11,46 %</w:t>
            </w:r>
          </w:p>
        </w:tc>
        <w:tc>
          <w:tcPr>
            <w:tcW w:w="2506" w:type="dxa"/>
          </w:tcPr>
          <w:p>
            <w:pPr>
              <w:spacing w:after="0"/>
              <w:jc w:val="right"/>
            </w:pPr>
            <w:r>
              <w:rPr>
                <w:sz w:val="18"/>
                <w:szCs w:val="18"/>
              </w:rPr>
              <w:t xml:space="preserve">12,15 %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B3302A"/>
                <w:sz w:val="18"/>
                <w:szCs w:val="18"/>
              </w:rPr>
              <w:t xml:space="preserve">✕ Non conforme</w:t>
            </w:r>
          </w:p>
        </w:tc>
        <w:tc>
          <w:tcPr>
            <w:tcW w:w="2506" w:type="dxa"/>
          </w:tcPr>
          <w:p>
            <w:pPr>
              <w:spacing w:after="0"/>
              <w:jc w:val="right"/>
            </w:pPr>
            <w:r>
              <w:rPr>
                <w:color w:val="B3302A"/>
                <w:sz w:val="18"/>
                <w:szCs w:val="18"/>
              </w:rPr>
              <w:t xml:space="preserve">✕ Non conforme</w:t>
            </w:r>
          </w:p>
        </w:tc>
        <w:tc>
          <w:tcPr>
            <w:tcW w:w="2506" w:type="dxa"/>
          </w:tcPr>
          <w:p>
            <w:pPr>
              <w:spacing w:after="0"/>
              <w:jc w:val="right"/>
            </w:pPr>
            <w:r>
              <w:rPr>
                <w:color w:val="8F5500"/>
                <w:sz w:val="18"/>
                <w:szCs w:val="18"/>
              </w:rPr>
              <w:t xml:space="preserve">! Marge faible</w:t>
            </w:r>
          </w:p>
        </w:tc>
      </w:tr>
    </w:tbl>
    <w:p>
      <w:pPr>
        <w:spacing w:after="60"/>
      </w:pPr>
    </w:p>
    <w:p>
      <w:pPr>
        <w:keepNext/>
        <w:spacing w:after="0"/>
      </w:pPr>
      <w:r>
        <w:drawing>
          <wp:inline distT="0" distB="0" distL="0" distR="0">
            <wp:extent cx="5400000" cy="2227500"/>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26.png"/>
                    <pic:cNvPicPr/>
                  </pic:nvPicPr>
                  <pic:blipFill>
                    <a:blip r:embed="rIdImg26"/>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26 – Ratio de solvabilité global par exercice</w:t>
      </w:r>
    </w:p>
    <w:p>
      <w:r>
        <w:t xml:space="preserve">Passe de </w:t>
      </w:r>
      <w:r>
        <w:rPr>
          <w:b/>
        </w:rPr>
        <w:t xml:space="preserve">9,61 %</w:t>
      </w:r>
      <w:r>
        <w:t xml:space="preserve"> en 2021 à </w:t>
      </w:r>
      <w:r>
        <w:rPr>
          <w:b/>
        </w:rPr>
        <w:t xml:space="preserve">12,15 %</w:t>
      </w:r>
      <w:r>
        <w:t xml:space="preserve"> en 2023 (+2,53 pt), hausse continue sur la période. La solvabilité réglementaire s’améliore. Au-dessus de le minimum réglementaire de 11,5 % mais avec une marge faible (+0,65 pt).</w:t>
      </w:r>
    </w:p>
    <w:p>
      <w:pPr>
        <w:pStyle w:val="Heading3"/>
        <w:keepNext/>
      </w:pPr>
      <w:r>
        <w:t xml:space="preserve">Ratio CET1</w:t>
      </w:r>
    </w:p>
    <w:p>
      <w:pPr>
        <w:spacing w:after="60"/>
      </w:pPr>
      <w:r>
        <w:rPr>
          <w:i/>
          <w:color w:val="6B7770"/>
          <w:sz w:val="17"/>
          <w:szCs w:val="17"/>
        </w:rPr>
        <w:t xml:space="preserve">Bâle III · seuil ≥ 7,5 % (norme)</w:t>
      </w:r>
    </w:p>
    <w:p>
      <w:r>
        <w:rPr>
          <w:sz w:val="19"/>
          <w:szCs w:val="19"/>
        </w:rPr>
        <w:t xml:space="preserve">Fonds propres de base durs rapportés aux actifs pondérés par les risques. C’est le noyau dur de la solvabilité selon Bâle III.</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CET1</m:t>
              </m:r>
            </m:num>
            <m:den>
              <m:r>
                <m:rPr>
                  <m:sty m:val="p"/>
                </m:rPr>
                <w:rPr>
                  <w:rFonts w:ascii="Cambria Math" w:hAnsi="Cambria Math"/>
                </w:rPr>
                <m:t xml:space="preserve">RWA</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20 785</m:t>
              </m:r>
            </m:num>
            <m:den>
              <m:r>
                <m:rPr>
                  <m:sty m:val="p"/>
                </m:rPr>
                <w:rPr>
                  <w:rFonts w:ascii="Cambria Math" w:hAnsi="Cambria Math"/>
                </w:rPr>
                <m:t xml:space="preserve">232 664</m:t>
              </m:r>
            </m:den>
          </m:f>
          <m:r>
            <m:rPr>
              <m:sty m:val="p"/>
            </m:rPr>
            <w:rPr>
              <w:rFonts w:ascii="Cambria Math" w:hAnsi="Cambria Math"/>
            </w:rPr>
            <m:t xml:space="preserve"> = 8,93 %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24 322</m:t>
              </m:r>
            </m:num>
            <m:den>
              <m:r>
                <m:rPr>
                  <m:sty m:val="p"/>
                </m:rPr>
                <w:rPr>
                  <w:rFonts w:ascii="Cambria Math" w:hAnsi="Cambria Math"/>
                </w:rPr>
                <m:t xml:space="preserve">226 068</m:t>
              </m:r>
            </m:den>
          </m:f>
          <m:r>
            <m:rPr>
              <m:sty m:val="p"/>
            </m:rPr>
            <w:rPr>
              <w:rFonts w:ascii="Cambria Math" w:hAnsi="Cambria Math"/>
            </w:rPr>
            <m:t xml:space="preserve"> = 10,76 %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CET1 = </m:t>
          </m:r>
          <m:f>
            <m:num>
              <m:r>
                <m:rPr>
                  <m:sty m:val="p"/>
                </m:rPr>
                <w:rPr>
                  <w:rFonts w:ascii="Cambria Math" w:hAnsi="Cambria Math"/>
                </w:rPr>
                <m:t xml:space="preserve">27 228</m:t>
              </m:r>
            </m:num>
            <m:den>
              <m:r>
                <m:rPr>
                  <m:sty m:val="p"/>
                </m:rPr>
                <w:rPr>
                  <w:rFonts w:ascii="Cambria Math" w:hAnsi="Cambria Math"/>
                </w:rPr>
                <m:t xml:space="preserve">237 172</m:t>
              </m:r>
            </m:den>
          </m:f>
          <m:r>
            <m:rPr>
              <m:sty m:val="p"/>
            </m:rPr>
            <w:rPr>
              <w:rFonts w:ascii="Cambria Math" w:hAnsi="Cambria Math"/>
            </w:rPr>
            <m:t xml:space="preserve"> = 11,48 %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8,93 %</w:t>
            </w:r>
          </w:p>
        </w:tc>
        <w:tc>
          <w:tcPr>
            <w:tcW w:w="2506" w:type="dxa"/>
          </w:tcPr>
          <w:p>
            <w:pPr>
              <w:spacing w:after="0"/>
              <w:jc w:val="right"/>
            </w:pPr>
            <w:r>
              <w:rPr>
                <w:sz w:val="18"/>
                <w:szCs w:val="18"/>
              </w:rPr>
              <w:t xml:space="preserve">10,76 %</w:t>
            </w:r>
          </w:p>
        </w:tc>
        <w:tc>
          <w:tcPr>
            <w:tcW w:w="2506" w:type="dxa"/>
          </w:tcPr>
          <w:p>
            <w:pPr>
              <w:spacing w:after="0"/>
              <w:jc w:val="right"/>
            </w:pPr>
            <w:r>
              <w:rPr>
                <w:sz w:val="18"/>
                <w:szCs w:val="18"/>
              </w:rPr>
              <w:t xml:space="preserve">11,48 %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r>
    </w:tbl>
    <w:p>
      <w:pPr>
        <w:spacing w:after="60"/>
      </w:pPr>
    </w:p>
    <w:p>
      <w:pPr>
        <w:keepNext/>
        <w:spacing w:after="0"/>
      </w:pPr>
      <w:r>
        <w:drawing>
          <wp:inline distT="0" distB="0" distL="0" distR="0">
            <wp:extent cx="5400000" cy="2227500"/>
            <wp:docPr id="27" name="Graphiqu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que27.png"/>
                    <pic:cNvPicPr/>
                  </pic:nvPicPr>
                  <pic:blipFill>
                    <a:blip r:embed="rIdImg27"/>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27 – Ratio CET1 par exercice</w:t>
      </w:r>
    </w:p>
    <w:p>
      <w:r>
        <w:t xml:space="preserve">Passe de </w:t>
      </w:r>
      <w:r>
        <w:rPr>
          <w:b/>
        </w:rPr>
        <w:t xml:space="preserve">8,93 %</w:t>
      </w:r>
      <w:r>
        <w:t xml:space="preserve"> en 2021 à </w:t>
      </w:r>
      <w:r>
        <w:rPr>
          <w:b/>
        </w:rPr>
        <w:t xml:space="preserve">11,48 %</w:t>
      </w:r>
      <w:r>
        <w:t xml:space="preserve"> en 2023 (+2,55 pt), hausse continue sur la période. Le noyau dur de solvabilité se renforce. Confortablement au-dessus de le minimum réglementaire de 7,5 % (marge +3,98 pt).</w:t>
      </w:r>
    </w:p>
    <w:p>
      <w:pPr>
        <w:pStyle w:val="Heading3"/>
        <w:keepNext/>
      </w:pPr>
      <w:r>
        <w:t xml:space="preserve">Ratio de levier Bâle III</w:t>
      </w:r>
    </w:p>
    <w:p>
      <w:pPr>
        <w:spacing w:after="60"/>
      </w:pPr>
      <w:r>
        <w:rPr>
          <w:i/>
          <w:color w:val="6B7770"/>
          <w:sz w:val="17"/>
          <w:szCs w:val="17"/>
        </w:rPr>
        <w:t xml:space="preserve">Bâle III · seuil ≥ 3,0 % (norme)</w:t>
      </w:r>
    </w:p>
    <w:p>
      <w:r>
        <w:rPr>
          <w:sz w:val="19"/>
          <w:szCs w:val="19"/>
        </w:rPr>
        <w:t xml:space="preserve">Tier 1 rapporté à l’exposition totale non pondérée (bilan + hors bilan converti). Garde-fou contre un endettement excessif, indépendant des pondérations.</w:t>
      </w:r>
    </w:p>
    <w:p>
      <w:pPr>
        <w:keepNext/>
        <w:spacing w:after="0"/>
      </w:pPr>
      <w:r>
        <w:rPr>
          <w:b/>
          <w:color w:val="0C5A48"/>
          <w:sz w:val="18"/>
          <w:szCs w:val="18"/>
        </w:rPr>
        <w:t xml:space="preserve">Formule</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Tier 1</m:t>
              </m:r>
            </m:num>
            <m:den>
              <m:r>
                <m:rPr>
                  <m:sty m:val="p"/>
                </m:rPr>
                <w:rPr>
                  <w:rFonts w:ascii="Cambria Math" w:hAnsi="Cambria Math"/>
                </w:rPr>
                <m:t xml:space="preserve">Exposition de levier</m:t>
              </m:r>
            </m:den>
          </m:f>
        </m:oMath>
      </m:oMathPara>
    </w:p>
    <w:p>
      <w:pPr>
        <w:keepNext/>
        <w:spacing w:after="0"/>
      </w:pPr>
      <w:r>
        <w:rPr>
          <w:b/>
          <w:color w:val="0C5A48"/>
          <w:sz w:val="18"/>
          <w:szCs w:val="18"/>
        </w:rPr>
        <w:t xml:space="preserve">Application numérique 2021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20 785</m:t>
              </m:r>
            </m:num>
            <m:den>
              <m:r>
                <m:rPr>
                  <m:sty m:val="p"/>
                </m:rPr>
                <w:rPr>
                  <w:rFonts w:ascii="Cambria Math" w:hAnsi="Cambria Math"/>
                </w:rPr>
                <m:t xml:space="preserve">327 252</m:t>
              </m:r>
            </m:den>
          </m:f>
          <m:r>
            <m:rPr>
              <m:sty m:val="p"/>
            </m:rPr>
            <w:rPr>
              <w:rFonts w:ascii="Cambria Math" w:hAnsi="Cambria Math"/>
            </w:rPr>
            <m:t xml:space="preserve"> = 6,35 %</m:t>
          </m:r>
        </m:oMath>
      </m:oMathPara>
    </w:p>
    <w:p>
      <w:pPr>
        <w:keepNext/>
        <w:spacing w:after="0"/>
      </w:pPr>
      <w:r>
        <w:rPr>
          <w:b/>
          <w:color w:val="0C5A48"/>
          <w:sz w:val="18"/>
          <w:szCs w:val="18"/>
        </w:rPr>
        <w:t xml:space="preserve">Application numérique 2022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24 322</m:t>
              </m:r>
            </m:num>
            <m:den>
              <m:r>
                <m:rPr>
                  <m:sty m:val="p"/>
                </m:rPr>
                <w:rPr>
                  <w:rFonts w:ascii="Cambria Math" w:hAnsi="Cambria Math"/>
                </w:rPr>
                <m:t xml:space="preserve">301 493</m:t>
              </m:r>
            </m:den>
          </m:f>
          <m:r>
            <m:rPr>
              <m:sty m:val="p"/>
            </m:rPr>
            <w:rPr>
              <w:rFonts w:ascii="Cambria Math" w:hAnsi="Cambria Math"/>
            </w:rPr>
            <m:t xml:space="preserve"> = 8,07 %</m:t>
          </m:r>
        </m:oMath>
      </m:oMathPara>
    </w:p>
    <w:p>
      <w:pPr>
        <w:keepNext/>
        <w:spacing w:after="0"/>
      </w:pPr>
      <w:r>
        <w:rPr>
          <w:b/>
          <w:color w:val="0C5A48"/>
          <w:sz w:val="18"/>
          <w:szCs w:val="18"/>
        </w:rPr>
        <w:t xml:space="preserve">Application numérique 2023 (M FCFA)</w:t>
      </w:r>
    </w:p>
    <w:p>
      <w:pPr>
        <w:spacing w:after="80"/>
      </w:pPr>
      <m:oMathPara>
        <m:oMathParaPr>
          <m:jc m:val="left"/>
        </m:oMathParaPr>
        <m:oMath>
          <m:r>
            <m:rPr>
              <m:sty m:val="p"/>
            </m:rPr>
            <w:rPr>
              <w:rFonts w:ascii="Cambria Math" w:hAnsi="Cambria Math"/>
            </w:rPr>
            <m:t xml:space="preserve">Ratio de levier Bâle III = </m:t>
          </m:r>
          <m:f>
            <m:num>
              <m:r>
                <m:rPr>
                  <m:sty m:val="p"/>
                </m:rPr>
                <w:rPr>
                  <w:rFonts w:ascii="Cambria Math" w:hAnsi="Cambria Math"/>
                </w:rPr>
                <m:t xml:space="preserve">27 228</m:t>
              </m:r>
            </m:num>
            <m:den>
              <m:r>
                <m:rPr>
                  <m:sty m:val="p"/>
                </m:rPr>
                <w:rPr>
                  <w:rFonts w:ascii="Cambria Math" w:hAnsi="Cambria Math"/>
                </w:rPr>
                <m:t xml:space="preserve">313 423</m:t>
              </m:r>
            </m:den>
          </m:f>
          <m:r>
            <m:rPr>
              <m:sty m:val="p"/>
            </m:rPr>
            <w:rPr>
              <w:rFonts w:ascii="Cambria Math" w:hAnsi="Cambria Math"/>
            </w:rPr>
            <m:t xml:space="preserve"> = 8,69 %</m:t>
          </m:r>
        </m:oMath>
      </m:oMathPara>
    </w:p>
    <w:tbl>
      <w:tblPr>
        <w:tblStyle w:val="Grille"/>
        <w:tblW w:w="5000" w:type="pct"/>
        <w:tblLayout w:type="autofit"/>
      </w:tblPr>
      <w:tblGrid>
        <w:gridCol w:w="2120"/>
        <w:gridCol w:w="2506"/>
        <w:gridCol w:w="2506"/>
        <w:gridCol w:w="2506"/>
      </w:tblGrid>
      <w:tr>
        <w:trPr>
          <w:tblHeader/>
          <w:cantSplit/>
        </w:trPr>
        <w:tc>
          <w:tcPr>
            <w:tcW w:w="2120" w:type="dxa"/>
            <w:shd w:val="clear" w:color="auto" w:fill="E8EDE8"/>
          </w:tcPr>
          <w:p>
            <w:pPr>
              <w:spacing w:after="0"/>
              <w:jc w:val="left"/>
            </w:pPr>
            <w:r>
              <w:rPr>
                <w:b/>
                <w:sz w:val="17"/>
                <w:szCs w:val="17"/>
              </w:rPr>
              <w:t xml:space="preserve">Exercice</w:t>
            </w:r>
          </w:p>
        </w:tc>
        <w:tc>
          <w:tcPr>
            <w:tcW w:w="2506" w:type="dxa"/>
            <w:shd w:val="clear" w:color="auto" w:fill="E8EDE8"/>
          </w:tcPr>
          <w:p>
            <w:pPr>
              <w:spacing w:after="0"/>
              <w:jc w:val="right"/>
            </w:pPr>
            <w:r>
              <w:rPr>
                <w:b/>
                <w:sz w:val="17"/>
                <w:szCs w:val="17"/>
              </w:rPr>
              <w:t xml:space="preserve">2021</w:t>
            </w:r>
          </w:p>
        </w:tc>
        <w:tc>
          <w:tcPr>
            <w:tcW w:w="2506" w:type="dxa"/>
            <w:shd w:val="clear" w:color="auto" w:fill="E8EDE8"/>
          </w:tcPr>
          <w:p>
            <w:pPr>
              <w:spacing w:after="0"/>
              <w:jc w:val="right"/>
            </w:pPr>
            <w:r>
              <w:rPr>
                <w:b/>
                <w:sz w:val="17"/>
                <w:szCs w:val="17"/>
              </w:rPr>
              <w:t xml:space="preserve">2022</w:t>
            </w:r>
          </w:p>
        </w:tc>
        <w:tc>
          <w:tcPr>
            <w:tcW w:w="2506" w:type="dxa"/>
            <w:shd w:val="clear" w:color="auto" w:fill="E8EDE8"/>
          </w:tcPr>
          <w:p>
            <w:pPr>
              <w:spacing w:after="0"/>
              <w:jc w:val="right"/>
            </w:pPr>
            <w:r>
              <w:rPr>
                <w:b/>
                <w:sz w:val="17"/>
                <w:szCs w:val="17"/>
              </w:rPr>
              <w:t xml:space="preserve">2023</w:t>
            </w:r>
          </w:p>
        </w:tc>
      </w:tr>
      <w:tr>
        <w:trPr>
          <w:cantSplit/>
        </w:trPr>
        <w:tc>
          <w:tcPr>
            <w:tcW w:w="2120" w:type="dxa"/>
          </w:tcPr>
          <w:p>
            <w:pPr>
              <w:spacing w:after="0"/>
              <w:jc w:val="left"/>
            </w:pPr>
            <w:r>
              <w:rPr>
                <w:sz w:val="18"/>
                <w:szCs w:val="18"/>
              </w:rPr>
              <w:t xml:space="preserve">Valeur</w:t>
            </w:r>
          </w:p>
        </w:tc>
        <w:tc>
          <w:tcPr>
            <w:tcW w:w="2506" w:type="dxa"/>
          </w:tcPr>
          <w:p>
            <w:pPr>
              <w:spacing w:after="0"/>
              <w:jc w:val="right"/>
            </w:pPr>
            <w:r>
              <w:rPr>
                <w:sz w:val="18"/>
                <w:szCs w:val="18"/>
              </w:rPr>
              <w:t xml:space="preserve">6,35 %</w:t>
            </w:r>
          </w:p>
        </w:tc>
        <w:tc>
          <w:tcPr>
            <w:tcW w:w="2506" w:type="dxa"/>
          </w:tcPr>
          <w:p>
            <w:pPr>
              <w:spacing w:after="0"/>
              <w:jc w:val="right"/>
            </w:pPr>
            <w:r>
              <w:rPr>
                <w:sz w:val="18"/>
                <w:szCs w:val="18"/>
              </w:rPr>
              <w:t xml:space="preserve">8,07 %</w:t>
            </w:r>
          </w:p>
        </w:tc>
        <w:tc>
          <w:tcPr>
            <w:tcW w:w="2506" w:type="dxa"/>
          </w:tcPr>
          <w:p>
            <w:pPr>
              <w:spacing w:after="0"/>
              <w:jc w:val="right"/>
            </w:pPr>
            <w:r>
              <w:rPr>
                <w:sz w:val="18"/>
                <w:szCs w:val="18"/>
              </w:rPr>
              <w:t xml:space="preserve">8,69 %</w:t>
            </w:r>
          </w:p>
        </w:tc>
      </w:tr>
      <w:tr>
        <w:trPr>
          <w:cantSplit/>
        </w:trPr>
        <w:tc>
          <w:tcPr>
            <w:tcW w:w="2120" w:type="dxa"/>
          </w:tcPr>
          <w:p>
            <w:pPr>
              <w:spacing w:after="0"/>
              <w:jc w:val="left"/>
            </w:pPr>
            <w:r>
              <w:rPr>
                <w:sz w:val="18"/>
                <w:szCs w:val="18"/>
              </w:rPr>
              <w:t xml:space="preserve">Appréciation</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c>
          <w:tcPr>
            <w:tcW w:w="2506" w:type="dxa"/>
          </w:tcPr>
          <w:p>
            <w:pPr>
              <w:spacing w:after="0"/>
              <w:jc w:val="right"/>
            </w:pPr>
            <w:r>
              <w:rPr>
                <w:color w:val="1A7642"/>
                <w:sz w:val="18"/>
                <w:szCs w:val="18"/>
              </w:rPr>
              <w:t xml:space="preserve">✓ Conforme</w:t>
            </w:r>
          </w:p>
        </w:tc>
      </w:tr>
    </w:tbl>
    <w:p>
      <w:pPr>
        <w:spacing w:after="60"/>
      </w:pPr>
    </w:p>
    <w:p>
      <w:pPr>
        <w:keepNext/>
        <w:spacing w:after="0"/>
      </w:pPr>
      <w:r>
        <w:drawing>
          <wp:inline distT="0" distB="0" distL="0" distR="0">
            <wp:extent cx="5400000" cy="2227500"/>
            <wp:docPr id="28" name="Graphiqu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que28.png"/>
                    <pic:cNvPicPr/>
                  </pic:nvPicPr>
                  <pic:blipFill>
                    <a:blip r:embed="rIdImg28"/>
                    <a:stretch>
                      <a:fillRect/>
                    </a:stretch>
                  </pic:blipFill>
                  <pic:spPr>
                    <a:xfrm>
                      <a:off x="0" y="0"/>
                      <a:ext cx="5400000" cy="2227500"/>
                    </a:xfrm>
                    <a:prstGeom prst="rect">
                      <a:avLst/>
                    </a:prstGeom>
                  </pic:spPr>
                </pic:pic>
              </a:graphicData>
            </a:graphic>
          </wp:inline>
        </w:drawing>
      </w:r>
    </w:p>
    <w:p>
      <w:pPr>
        <w:spacing w:after="160"/>
      </w:pPr>
      <w:r>
        <w:rPr>
          <w:i/>
          <w:color w:val="6B7770"/>
          <w:sz w:val="17"/>
          <w:szCs w:val="17"/>
        </w:rPr>
        <w:t xml:space="preserve">Figure 28 – Ratio de levier Bâle III par exercice</w:t>
      </w:r>
    </w:p>
    <w:p>
      <w:r>
        <w:t xml:space="preserve">Passe de </w:t>
      </w:r>
      <w:r>
        <w:rPr>
          <w:b/>
        </w:rPr>
        <w:t xml:space="preserve">6,35 %</w:t>
      </w:r>
      <w:r>
        <w:t xml:space="preserve"> en 2021 à </w:t>
      </w:r>
      <w:r>
        <w:rPr>
          <w:b/>
        </w:rPr>
        <w:t xml:space="preserve">8,69 %</w:t>
      </w:r>
      <w:r>
        <w:t xml:space="preserve"> en 2023 (+2,34 pt), hausse continue sur la période. Le levier réglementaire s’améliore. Confortablement au-dessus de le minimum réglementaire de 3,0 % (marge +5,69 pt).</w:t>
      </w:r>
    </w:p>
    <w:p>
      <w:pPr>
        <w:pStyle w:val="Heading1"/>
        <w:keepNext/>
        <w:pageBreakBefore/>
      </w:pPr>
      <w:r>
        <w:t xml:space="preserve">7. Méthodologie, seuils et données manquantes</w:t>
      </w:r>
    </w:p>
    <w:p>
      <w:r>
        <w:t xml:space="preserve">Les états financiers suivent le plan comptable bancaire révisé de l’UMOA. Les seuils réglementaires reprennent le dispositif prudentiel de la BCEAO ; les repères d’analyse ne sont pas des normes. Chaque formule de ce rapport est produite par le même moteur de calcul que l’application.</w:t>
      </w:r>
    </w:p>
    <w:tbl>
      <w:tblPr>
        <w:tblStyle w:val="Grille"/>
        <w:tblW w:w="5000" w:type="pct"/>
        <w:tblLayout w:type="autofit"/>
      </w:tblPr>
      <w:tblGrid>
        <w:gridCol w:w="4048"/>
        <w:gridCol w:w="2795"/>
        <w:gridCol w:w="2795"/>
      </w:tblGrid>
      <w:tr>
        <w:trPr>
          <w:tblHeader/>
          <w:cantSplit/>
        </w:trPr>
        <w:tc>
          <w:tcPr>
            <w:tcW w:w="4048" w:type="dxa"/>
            <w:shd w:val="clear" w:color="auto" w:fill="E8EDE8"/>
          </w:tcPr>
          <w:p>
            <w:pPr>
              <w:spacing w:after="0"/>
              <w:jc w:val="left"/>
            </w:pPr>
            <w:r>
              <w:rPr>
                <w:b/>
                <w:sz w:val="17"/>
                <w:szCs w:val="17"/>
              </w:rPr>
              <w:t xml:space="preserve">Paramètre</w:t>
            </w:r>
          </w:p>
        </w:tc>
        <w:tc>
          <w:tcPr>
            <w:tcW w:w="2795" w:type="dxa"/>
            <w:shd w:val="clear" w:color="auto" w:fill="E8EDE8"/>
          </w:tcPr>
          <w:p>
            <w:pPr>
              <w:spacing w:after="0"/>
              <w:jc w:val="right"/>
            </w:pPr>
            <w:r>
              <w:rPr>
                <w:b/>
                <w:sz w:val="17"/>
                <w:szCs w:val="17"/>
              </w:rPr>
              <w:t xml:space="preserve">Valeur</w:t>
            </w:r>
          </w:p>
        </w:tc>
        <w:tc>
          <w:tcPr>
            <w:tcW w:w="2795" w:type="dxa"/>
            <w:shd w:val="clear" w:color="auto" w:fill="E8EDE8"/>
          </w:tcPr>
          <w:p>
            <w:pPr>
              <w:spacing w:after="0"/>
              <w:jc w:val="right"/>
            </w:pPr>
            <w:r>
              <w:rPr>
                <w:b/>
                <w:sz w:val="17"/>
                <w:szCs w:val="17"/>
              </w:rPr>
              <w:t xml:space="preserve">Source</w:t>
            </w:r>
          </w:p>
        </w:tc>
      </w:tr>
      <w:tr>
        <w:trPr>
          <w:cantSplit/>
        </w:trPr>
        <w:tc>
          <w:tcPr>
            <w:tcW w:w="4048" w:type="dxa"/>
          </w:tcPr>
          <w:p>
            <w:pPr>
              <w:spacing w:after="0"/>
              <w:jc w:val="left"/>
            </w:pPr>
            <w:r>
              <w:rPr>
                <w:sz w:val="18"/>
                <w:szCs w:val="18"/>
              </w:rPr>
              <w:t xml:space="preserve">Ratio CET1 minimum</w:t>
            </w:r>
          </w:p>
        </w:tc>
        <w:tc>
          <w:tcPr>
            <w:tcW w:w="2795" w:type="dxa"/>
          </w:tcPr>
          <w:p>
            <w:pPr>
              <w:spacing w:after="0"/>
              <w:jc w:val="right"/>
            </w:pPr>
            <w:r>
              <w:rPr>
                <w:sz w:val="18"/>
                <w:szCs w:val="18"/>
              </w:rPr>
              <w:t xml:space="preserve">7,5 %</w:t>
            </w:r>
          </w:p>
        </w:tc>
        <w:tc>
          <w:tcPr>
            <w:tcW w:w="2795" w:type="dxa"/>
          </w:tcPr>
          <w:p>
            <w:pPr>
              <w:spacing w:after="0"/>
              <w:jc w:val="left"/>
            </w:pPr>
            <w:r>
              <w:rPr>
                <w:sz w:val="18"/>
                <w:szCs w:val="18"/>
              </w:rPr>
              <w:t xml:space="preserve">Dispositif prudentiel UMOA (Bâle II/III), régime cible</w:t>
            </w:r>
          </w:p>
        </w:tc>
      </w:tr>
      <w:tr>
        <w:trPr>
          <w:cantSplit/>
        </w:trPr>
        <w:tc>
          <w:tcPr>
            <w:tcW w:w="4048" w:type="dxa"/>
          </w:tcPr>
          <w:p>
            <w:pPr>
              <w:spacing w:after="0"/>
              <w:jc w:val="left"/>
            </w:pPr>
            <w:r>
              <w:rPr>
                <w:sz w:val="18"/>
                <w:szCs w:val="18"/>
              </w:rPr>
              <w:t xml:space="preserve">Ratio Tier 1 minimum</w:t>
            </w:r>
          </w:p>
        </w:tc>
        <w:tc>
          <w:tcPr>
            <w:tcW w:w="2795" w:type="dxa"/>
          </w:tcPr>
          <w:p>
            <w:pPr>
              <w:spacing w:after="0"/>
              <w:jc w:val="right"/>
            </w:pPr>
            <w:r>
              <w:rPr>
                <w:sz w:val="18"/>
                <w:szCs w:val="18"/>
              </w:rPr>
              <w:t xml:space="preserve">8,5 %</w:t>
            </w:r>
          </w:p>
        </w:tc>
        <w:tc>
          <w:tcPr>
            <w:tcW w:w="2795" w:type="dxa"/>
          </w:tcPr>
          <w:p>
            <w:pPr>
              <w:spacing w:after="0"/>
              <w:jc w:val="left"/>
            </w:pPr>
            <w:r>
              <w:rPr>
                <w:sz w:val="18"/>
                <w:szCs w:val="18"/>
              </w:rPr>
              <w:t xml:space="preserve">Dispositif prudentiel UMOA</w:t>
            </w:r>
          </w:p>
        </w:tc>
      </w:tr>
      <w:tr>
        <w:trPr>
          <w:cantSplit/>
        </w:trPr>
        <w:tc>
          <w:tcPr>
            <w:tcW w:w="4048" w:type="dxa"/>
          </w:tcPr>
          <w:p>
            <w:pPr>
              <w:spacing w:after="0"/>
              <w:jc w:val="left"/>
            </w:pPr>
            <w:r>
              <w:rPr>
                <w:sz w:val="18"/>
                <w:szCs w:val="18"/>
              </w:rPr>
              <w:t xml:space="preserve">Ratio de solvabilité global minimum</w:t>
            </w:r>
          </w:p>
        </w:tc>
        <w:tc>
          <w:tcPr>
            <w:tcW w:w="2795" w:type="dxa"/>
          </w:tcPr>
          <w:p>
            <w:pPr>
              <w:spacing w:after="0"/>
              <w:jc w:val="right"/>
            </w:pPr>
            <w:r>
              <w:rPr>
                <w:sz w:val="18"/>
                <w:szCs w:val="18"/>
              </w:rPr>
              <w:t xml:space="preserve">11,5 %</w:t>
            </w:r>
          </w:p>
        </w:tc>
        <w:tc>
          <w:tcPr>
            <w:tcW w:w="2795" w:type="dxa"/>
          </w:tcPr>
          <w:p>
            <w:pPr>
              <w:spacing w:after="0"/>
              <w:jc w:val="left"/>
            </w:pPr>
            <w:r>
              <w:rPr>
                <w:sz w:val="18"/>
                <w:szCs w:val="18"/>
              </w:rPr>
              <w:t xml:space="preserve">Dispositif prudentiel UMOA, coussin de conservation inclus</w:t>
            </w:r>
          </w:p>
        </w:tc>
      </w:tr>
      <w:tr>
        <w:trPr>
          <w:cantSplit/>
        </w:trPr>
        <w:tc>
          <w:tcPr>
            <w:tcW w:w="4048" w:type="dxa"/>
          </w:tcPr>
          <w:p>
            <w:pPr>
              <w:spacing w:after="0"/>
              <w:jc w:val="left"/>
            </w:pPr>
            <w:r>
              <w:rPr>
                <w:sz w:val="18"/>
                <w:szCs w:val="18"/>
              </w:rPr>
              <w:t xml:space="preserve">Ratio de levier minimum</w:t>
            </w:r>
          </w:p>
        </w:tc>
        <w:tc>
          <w:tcPr>
            <w:tcW w:w="2795" w:type="dxa"/>
          </w:tcPr>
          <w:p>
            <w:pPr>
              <w:spacing w:after="0"/>
              <w:jc w:val="right"/>
            </w:pPr>
            <w:r>
              <w:rPr>
                <w:sz w:val="18"/>
                <w:szCs w:val="18"/>
              </w:rPr>
              <w:t xml:space="preserve">3 %</w:t>
            </w:r>
          </w:p>
        </w:tc>
        <w:tc>
          <w:tcPr>
            <w:tcW w:w="2795" w:type="dxa"/>
          </w:tcPr>
          <w:p>
            <w:pPr>
              <w:spacing w:after="0"/>
              <w:jc w:val="left"/>
            </w:pPr>
            <w:r>
              <w:rPr>
                <w:sz w:val="18"/>
                <w:szCs w:val="18"/>
              </w:rPr>
              <w:t xml:space="preserve">Bâle III, repris par le dispositif UMOA</w:t>
            </w:r>
          </w:p>
        </w:tc>
      </w:tr>
      <w:tr>
        <w:trPr>
          <w:cantSplit/>
        </w:trPr>
        <w:tc>
          <w:tcPr>
            <w:tcW w:w="4048" w:type="dxa"/>
          </w:tcPr>
          <w:p>
            <w:pPr>
              <w:spacing w:after="0"/>
              <w:jc w:val="left"/>
            </w:pPr>
            <w:r>
              <w:rPr>
                <w:sz w:val="18"/>
                <w:szCs w:val="18"/>
              </w:rPr>
              <w:t xml:space="preserve">Coefficient de liquidité minimum</w:t>
            </w:r>
          </w:p>
        </w:tc>
        <w:tc>
          <w:tcPr>
            <w:tcW w:w="2795" w:type="dxa"/>
          </w:tcPr>
          <w:p>
            <w:pPr>
              <w:spacing w:after="0"/>
              <w:jc w:val="right"/>
            </w:pPr>
            <w:r>
              <w:rPr>
                <w:sz w:val="18"/>
                <w:szCs w:val="18"/>
              </w:rPr>
              <w:t xml:space="preserve">75 %</w:t>
            </w:r>
          </w:p>
        </w:tc>
        <w:tc>
          <w:tcPr>
            <w:tcW w:w="2795" w:type="dxa"/>
          </w:tcPr>
          <w:p>
            <w:pPr>
              <w:spacing w:after="0"/>
              <w:jc w:val="left"/>
            </w:pPr>
            <w:r>
              <w:rPr>
                <w:sz w:val="18"/>
                <w:szCs w:val="18"/>
              </w:rPr>
              <w:t xml:space="preserve">Règles de liquidité BCEAO</w:t>
            </w:r>
          </w:p>
        </w:tc>
      </w:tr>
      <w:tr>
        <w:trPr>
          <w:cantSplit/>
        </w:trPr>
        <w:tc>
          <w:tcPr>
            <w:tcW w:w="4048" w:type="dxa"/>
          </w:tcPr>
          <w:p>
            <w:pPr>
              <w:spacing w:after="0"/>
              <w:jc w:val="left"/>
            </w:pPr>
            <w:r>
              <w:rPr>
                <w:sz w:val="18"/>
                <w:szCs w:val="18"/>
              </w:rPr>
              <w:t xml:space="preserve">LCR minimum</w:t>
            </w:r>
          </w:p>
        </w:tc>
        <w:tc>
          <w:tcPr>
            <w:tcW w:w="2795" w:type="dxa"/>
          </w:tcPr>
          <w:p>
            <w:pPr>
              <w:spacing w:after="0"/>
              <w:jc w:val="right"/>
            </w:pPr>
            <w:r>
              <w:rPr>
                <w:sz w:val="18"/>
                <w:szCs w:val="18"/>
              </w:rPr>
              <w:t xml:space="preserve">100 %</w:t>
            </w:r>
          </w:p>
        </w:tc>
        <w:tc>
          <w:tcPr>
            <w:tcW w:w="2795" w:type="dxa"/>
          </w:tcPr>
          <w:p>
            <w:pPr>
              <w:spacing w:after="0"/>
              <w:jc w:val="left"/>
            </w:pPr>
            <w:r>
              <w:rPr>
                <w:sz w:val="18"/>
                <w:szCs w:val="18"/>
              </w:rPr>
              <w:t xml:space="preserve">Bâle III</w:t>
            </w:r>
          </w:p>
        </w:tc>
      </w:tr>
      <w:tr>
        <w:trPr>
          <w:cantSplit/>
        </w:trPr>
        <w:tc>
          <w:tcPr>
            <w:tcW w:w="4048" w:type="dxa"/>
          </w:tcPr>
          <w:p>
            <w:pPr>
              <w:spacing w:after="0"/>
              <w:jc w:val="left"/>
            </w:pPr>
            <w:r>
              <w:rPr>
                <w:sz w:val="18"/>
                <w:szCs w:val="18"/>
              </w:rPr>
              <w:t xml:space="preserve">Couverture des emplois MLT par ressources stables</w:t>
            </w:r>
          </w:p>
        </w:tc>
        <w:tc>
          <w:tcPr>
            <w:tcW w:w="2795" w:type="dxa"/>
          </w:tcPr>
          <w:p>
            <w:pPr>
              <w:spacing w:after="0"/>
              <w:jc w:val="right"/>
            </w:pPr>
            <w:r>
              <w:rPr>
                <w:sz w:val="18"/>
                <w:szCs w:val="18"/>
              </w:rPr>
              <w:t xml:space="preserve">50 %</w:t>
            </w:r>
          </w:p>
        </w:tc>
        <w:tc>
          <w:tcPr>
            <w:tcW w:w="2795" w:type="dxa"/>
          </w:tcPr>
          <w:p>
            <w:pPr>
              <w:spacing w:after="0"/>
              <w:jc w:val="left"/>
            </w:pPr>
            <w:r>
              <w:rPr>
                <w:sz w:val="18"/>
                <w:szCs w:val="18"/>
              </w:rPr>
              <w:t xml:space="preserve">Règles de transformation BCEAO</w:t>
            </w:r>
          </w:p>
        </w:tc>
      </w:tr>
      <w:tr>
        <w:trPr>
          <w:cantSplit/>
        </w:trPr>
        <w:tc>
          <w:tcPr>
            <w:tcW w:w="4048" w:type="dxa"/>
          </w:tcPr>
          <w:p>
            <w:pPr>
              <w:spacing w:after="0"/>
              <w:jc w:val="left"/>
            </w:pPr>
            <w:r>
              <w:rPr>
                <w:sz w:val="18"/>
                <w:szCs w:val="18"/>
              </w:rPr>
              <w:t xml:space="preserve">Transformation : plafond crédits / dépôts</w:t>
            </w:r>
          </w:p>
        </w:tc>
        <w:tc>
          <w:tcPr>
            <w:tcW w:w="2795" w:type="dxa"/>
          </w:tcPr>
          <w:p>
            <w:pPr>
              <w:spacing w:after="0"/>
              <w:jc w:val="right"/>
            </w:pPr>
            <w:r>
              <w:rPr>
                <w:sz w:val="18"/>
                <w:szCs w:val="18"/>
              </w:rPr>
              <w:t xml:space="preserve">100 %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Liquidité bilan : plancher</w:t>
            </w:r>
          </w:p>
        </w:tc>
        <w:tc>
          <w:tcPr>
            <w:tcW w:w="2795" w:type="dxa"/>
          </w:tcPr>
          <w:p>
            <w:pPr>
              <w:spacing w:after="0"/>
              <w:jc w:val="right"/>
            </w:pPr>
            <w:r>
              <w:rPr>
                <w:sz w:val="18"/>
                <w:szCs w:val="18"/>
              </w:rPr>
              <w:t xml:space="preserve">30 %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Levier bilan (CP / Total actif) : plancher</w:t>
            </w:r>
          </w:p>
        </w:tc>
        <w:tc>
          <w:tcPr>
            <w:tcW w:w="2795" w:type="dxa"/>
          </w:tcPr>
          <w:p>
            <w:pPr>
              <w:spacing w:after="0"/>
              <w:jc w:val="right"/>
            </w:pPr>
            <w:r>
              <w:rPr>
                <w:sz w:val="18"/>
                <w:szCs w:val="18"/>
              </w:rPr>
              <w:t xml:space="preserve">3 %</w:t>
            </w:r>
          </w:p>
        </w:tc>
        <w:tc>
          <w:tcPr>
            <w:tcW w:w="2795" w:type="dxa"/>
          </w:tcPr>
          <w:p>
            <w:pPr>
              <w:spacing w:after="0"/>
              <w:jc w:val="left"/>
            </w:pPr>
            <w:r>
              <w:rPr>
                <w:sz w:val="18"/>
                <w:szCs w:val="18"/>
              </w:rPr>
              <w:t xml:space="preserve">Calqué sur le seuil Bâle III</w:t>
            </w:r>
          </w:p>
        </w:tc>
      </w:tr>
      <w:tr>
        <w:trPr>
          <w:cantSplit/>
        </w:trPr>
        <w:tc>
          <w:tcPr>
            <w:tcW w:w="4048" w:type="dxa"/>
          </w:tcPr>
          <w:p>
            <w:pPr>
              <w:spacing w:after="0"/>
              <w:jc w:val="left"/>
            </w:pPr>
            <w:r>
              <w:rPr>
                <w:sz w:val="18"/>
                <w:szCs w:val="18"/>
              </w:rPr>
              <w:t xml:space="preserve">Solvabilité bilan : plancher</w:t>
            </w:r>
          </w:p>
        </w:tc>
        <w:tc>
          <w:tcPr>
            <w:tcW w:w="2795" w:type="dxa"/>
          </w:tcPr>
          <w:p>
            <w:pPr>
              <w:spacing w:after="0"/>
              <w:jc w:val="right"/>
            </w:pPr>
            <w:r>
              <w:rPr>
                <w:sz w:val="18"/>
                <w:szCs w:val="18"/>
              </w:rPr>
              <w:t xml:space="preserve">8 %</w:t>
            </w:r>
          </w:p>
        </w:tc>
        <w:tc>
          <w:tcPr>
            <w:tcW w:w="2795" w:type="dxa"/>
          </w:tcPr>
          <w:p>
            <w:pPr>
              <w:spacing w:after="0"/>
              <w:jc w:val="left"/>
            </w:pPr>
            <w:r>
              <w:rPr>
                <w:sz w:val="18"/>
                <w:szCs w:val="18"/>
              </w:rPr>
              <w:t xml:space="preserve">Ancien ratio Cooke (Bâle I)</w:t>
            </w:r>
          </w:p>
        </w:tc>
      </w:tr>
      <w:tr>
        <w:trPr>
          <w:cantSplit/>
        </w:trPr>
        <w:tc>
          <w:tcPr>
            <w:tcW w:w="4048" w:type="dxa"/>
          </w:tcPr>
          <w:p>
            <w:pPr>
              <w:spacing w:after="0"/>
              <w:jc w:val="left"/>
            </w:pPr>
            <w:r>
              <w:rPr>
                <w:sz w:val="18"/>
                <w:szCs w:val="18"/>
              </w:rPr>
              <w:t xml:space="preserve">ROA : plancher</w:t>
            </w:r>
          </w:p>
        </w:tc>
        <w:tc>
          <w:tcPr>
            <w:tcW w:w="2795" w:type="dxa"/>
          </w:tcPr>
          <w:p>
            <w:pPr>
              <w:spacing w:after="0"/>
              <w:jc w:val="right"/>
            </w:pPr>
            <w:r>
              <w:rPr>
                <w:sz w:val="18"/>
                <w:szCs w:val="18"/>
              </w:rPr>
              <w:t xml:space="preserve">1 %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ROE : plancher</w:t>
            </w:r>
          </w:p>
        </w:tc>
        <w:tc>
          <w:tcPr>
            <w:tcW w:w="2795" w:type="dxa"/>
          </w:tcPr>
          <w:p>
            <w:pPr>
              <w:spacing w:after="0"/>
              <w:jc w:val="right"/>
            </w:pPr>
            <w:r>
              <w:rPr>
                <w:sz w:val="18"/>
                <w:szCs w:val="18"/>
              </w:rPr>
              <w:t xml:space="preserve">10 %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Coefficient d'exploitation : plafond</w:t>
            </w:r>
          </w:p>
        </w:tc>
        <w:tc>
          <w:tcPr>
            <w:tcW w:w="2795" w:type="dxa"/>
          </w:tcPr>
          <w:p>
            <w:pPr>
              <w:spacing w:after="0"/>
              <w:jc w:val="right"/>
            </w:pPr>
            <w:r>
              <w:rPr>
                <w:sz w:val="18"/>
                <w:szCs w:val="18"/>
              </w:rPr>
              <w:t xml:space="preserve">60 %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Coût du risque / crédits : plafond</w:t>
            </w:r>
          </w:p>
        </w:tc>
        <w:tc>
          <w:tcPr>
            <w:tcW w:w="2795" w:type="dxa"/>
          </w:tcPr>
          <w:p>
            <w:pPr>
              <w:spacing w:after="0"/>
              <w:jc w:val="right"/>
            </w:pPr>
            <w:r>
              <w:rPr>
                <w:sz w:val="18"/>
                <w:szCs w:val="18"/>
              </w:rPr>
              <w:t xml:space="preserve">2 %</w:t>
            </w:r>
          </w:p>
        </w:tc>
        <w:tc>
          <w:tcPr>
            <w:tcW w:w="2795" w:type="dxa"/>
          </w:tcPr>
          <w:p>
            <w:pPr>
              <w:spacing w:after="0"/>
              <w:jc w:val="left"/>
            </w:pPr>
            <w:r>
              <w:rPr>
                <w:sz w:val="18"/>
                <w:szCs w:val="18"/>
              </w:rPr>
              <w:t xml:space="preserve">Usage en analyse bancaire</w:t>
            </w:r>
          </w:p>
        </w:tc>
      </w:tr>
      <w:tr>
        <w:trPr>
          <w:cantSplit/>
        </w:trPr>
        <w:tc>
          <w:tcPr>
            <w:tcW w:w="4048" w:type="dxa"/>
          </w:tcPr>
          <w:p>
            <w:pPr>
              <w:spacing w:after="0"/>
              <w:jc w:val="left"/>
            </w:pPr>
            <w:r>
              <w:rPr>
                <w:sz w:val="18"/>
                <w:szCs w:val="18"/>
              </w:rPr>
              <w:t xml:space="preserve">Zone de vigilance autour du seuil (en % du seuil)</w:t>
            </w:r>
          </w:p>
        </w:tc>
        <w:tc>
          <w:tcPr>
            <w:tcW w:w="2795" w:type="dxa"/>
          </w:tcPr>
          <w:p>
            <w:pPr>
              <w:spacing w:after="0"/>
              <w:jc w:val="right"/>
            </w:pPr>
            <w:r>
              <w:rPr>
                <w:sz w:val="18"/>
                <w:szCs w:val="18"/>
              </w:rPr>
              <w:t xml:space="preserve">10 %</w:t>
            </w:r>
          </w:p>
        </w:tc>
        <w:tc>
          <w:tcPr>
            <w:tcW w:w="2795" w:type="dxa"/>
          </w:tcPr>
          <w:p>
            <w:pPr>
              <w:spacing w:after="0"/>
              <w:jc w:val="left"/>
            </w:pPr>
            <w:r>
              <w:rPr>
                <w:sz w:val="18"/>
                <w:szCs w:val="18"/>
              </w:rPr>
              <w:t xml:space="preserve">Un ratio à moins de 10 % du seuil passe en orange</w:t>
            </w:r>
          </w:p>
        </w:tc>
      </w:tr>
    </w:tbl>
    <w:p>
      <w:pPr>
        <w:spacing w:after="60"/>
      </w:pPr>
    </w:p>
    <w:p>
      <w:pPr>
        <w:pStyle w:val="Heading2"/>
        <w:keepNext/>
      </w:pPr>
      <w:r>
        <w:t xml:space="preserve">Données manquantes</w:t>
      </w:r>
    </w:p>
    <w:p>
      <w:r>
        <w:t xml:space="preserve">Toutes les données utilisées par les indicateurs sont renseignées.</w:t>
      </w:r>
    </w:p>
    <w:sectPr>
      <w:footerReference w:type="default" r:id="rIdFooter"/>
      <w:pgSz w:w="11906" w:h="16838"/>
      <w:pgMar w:top="1247" w:right="1134" w:bottom="1247" w:left="1134" w:header="567" w:footer="567" w:gutter="0"/>
    </w:sectPr>
  </w:body>
</w:document>
</file>

<file path=word/footer1.xml><?xml version="1.0" encoding="utf-8"?>
<w:ftr xmlns:w="http://schemas.openxmlformats.org/wordprocessingml/2006/main">
  <w:p>
    <w:pPr>
      <w:jc w:val="right"/>
    </w:pPr>
    <w:r>
      <w:rPr>
        <w:color w:val="6B7770"/>
        <w:sz w:val="16"/>
      </w:rPr>
      <w:t xml:space="preserve">Banque Atlantique Bénin (BAB) · page </w:t>
    </w:r>
    <w:r>
      <w:rPr>
        <w:color w:val="6B7770"/>
        <w:sz w:val="16"/>
      </w:rPr>
      <w:fldChar w:fldCharType="begin"/>
    </w:r>
    <w:r>
      <w:rPr>
        <w:color w:val="6B7770"/>
        <w:sz w:val="16"/>
      </w:rPr>
      <w:instrText xml:space="preserve"> PAGE </w:instrText>
    </w:r>
    <w:r>
      <w:rPr>
        <w:color w:val="6B7770"/>
        <w:sz w:val="16"/>
      </w:rPr>
      <w:fldChar w:fldCharType="separate"/>
    </w:r>
    <w:r>
      <w:rPr>
        <w:color w:val="6B7770"/>
        <w:sz w:val="16"/>
      </w:rPr>
      <w:t>1</w:t>
    </w:r>
    <w:r>
      <w:rPr>
        <w:color w:val="6B7770"/>
        <w:sz w:val="16"/>
      </w:rPr>
      <w:fldChar w:fldCharType="end"/>
    </w:r>
  </w:p>
</w:ftr>
</file>

<file path=word/styles.xml><?xml version="1.0" encoding="utf-8"?>
<w:styles xmlns:w="http://schemas.openxmlformats.org/wordprocessingml/2006/main">
  <w:docDefaults>
    <w:rPrDefault>
      <w:rPr>
        <w:rFonts w:ascii="Calibri" w:hAnsi="Calibri" w:eastAsia="Calibri" w:cs="Calibri"/>
        <w:sz w:val="21"/>
        <w:szCs w:val="21"/>
        <w:lang w:val="fr-FR"/>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before="2400" w:after="240"/>
    </w:pPr>
    <w:rPr>
      <w:b/>
      <w:color w:val="0C5A48"/>
      <w:sz w:val="52"/>
      <w:szCs w:val="52"/>
    </w:rPr>
  </w:style>
  <w:style w:type="paragraph" w:styleId="Heading1">
    <w:name w:val="heading 1"/>
    <w:basedOn w:val="Normal"/>
    <w:next w:val="Normal"/>
    <w:qFormat/>
    <w:pPr>
      <w:keepNext/>
      <w:spacing w:before="360" w:after="160"/>
      <w:outlineLvl w:val="0"/>
    </w:pPr>
    <w:rPr>
      <w:b/>
      <w:color w:val="0C5A48"/>
      <w:sz w:val="34"/>
      <w:szCs w:val="34"/>
    </w:rPr>
  </w:style>
  <w:style w:type="paragraph" w:styleId="Heading2">
    <w:name w:val="heading 2"/>
    <w:basedOn w:val="Normal"/>
    <w:next w:val="Normal"/>
    <w:qFormat/>
    <w:pPr>
      <w:keepNext/>
      <w:spacing w:before="280" w:after="120"/>
      <w:outlineLvl w:val="1"/>
    </w:pPr>
    <w:rPr>
      <w:b/>
      <w:color w:val="0C5A48"/>
      <w:sz w:val="27"/>
      <w:szCs w:val="27"/>
    </w:rPr>
  </w:style>
  <w:style w:type="paragraph" w:styleId="Heading3">
    <w:name w:val="heading 3"/>
    <w:basedOn w:val="Normal"/>
    <w:next w:val="Normal"/>
    <w:qFormat/>
    <w:pPr>
      <w:keepNext/>
      <w:spacing w:before="220" w:after="80"/>
      <w:outlineLvl w:val="2"/>
    </w:pPr>
    <w:rPr>
      <w:b/>
      <w:color w:val="13201A"/>
      <w:sz w:val="23"/>
      <w:szCs w:val="23"/>
    </w:rPr>
  </w:style>
  <w:style w:type="paragraph" w:styleId="Note">
    <w:name w:val="Note"/>
    <w:basedOn w:val="Normal"/>
    <w:rPr>
      <w:i/>
      <w:color w:val="6B7770"/>
      <w:sz w:val="18"/>
    </w:rPr>
  </w:style>
  <w:style w:type="table" w:styleId="Grille">
    <w:name w:val="Grille"/>
    <w:tblPr>
      <w:tblBorders>
        <w:top w:val="single" w:sz="4" w:color="C9D2CC"/>
        <w:left w:val="single" w:sz="4" w:color="C9D2CC"/>
        <w:bottom w:val="single" w:sz="4" w:color="C9D2CC"/>
        <w:right w:val="single" w:sz="4" w:color="C9D2CC"/>
        <w:insideH w:val="single" w:sz="4" w:color="C9D2CC"/>
        <w:insideV w:val="single" w:sz="4" w:color="C9D2CC"/>
      </w:tblBorders>
      <w:tblCellMar>
        <w:top w:w="40" w:type="dxa"/>
        <w:left w:w="90" w:type="dxa"/>
        <w:bottom w:w="40" w:type="dxa"/>
        <w:right w:w="9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graphique1.png"/><Relationship Id="rIdImg2" Type="http://schemas.openxmlformats.org/officeDocument/2006/relationships/image" Target="media/graphique2.png"/><Relationship Id="rIdImg3" Type="http://schemas.openxmlformats.org/officeDocument/2006/relationships/image" Target="media/graphique3.png"/><Relationship Id="rIdImg4" Type="http://schemas.openxmlformats.org/officeDocument/2006/relationships/image" Target="media/graphique4.png"/><Relationship Id="rIdImg5" Type="http://schemas.openxmlformats.org/officeDocument/2006/relationships/image" Target="media/graphique5.png"/><Relationship Id="rIdImg6" Type="http://schemas.openxmlformats.org/officeDocument/2006/relationships/image" Target="media/graphique6.png"/><Relationship Id="rIdImg7" Type="http://schemas.openxmlformats.org/officeDocument/2006/relationships/image" Target="media/graphique7.png"/><Relationship Id="rIdImg8" Type="http://schemas.openxmlformats.org/officeDocument/2006/relationships/image" Target="media/graphique8.png"/><Relationship Id="rIdImg9" Type="http://schemas.openxmlformats.org/officeDocument/2006/relationships/image" Target="media/graphique9.png"/><Relationship Id="rIdImg10" Type="http://schemas.openxmlformats.org/officeDocument/2006/relationships/image" Target="media/graphique10.png"/><Relationship Id="rIdImg11" Type="http://schemas.openxmlformats.org/officeDocument/2006/relationships/image" Target="media/graphique11.png"/><Relationship Id="rIdImg12" Type="http://schemas.openxmlformats.org/officeDocument/2006/relationships/image" Target="media/graphique12.png"/><Relationship Id="rIdImg13" Type="http://schemas.openxmlformats.org/officeDocument/2006/relationships/image" Target="media/graphique13.png"/><Relationship Id="rIdImg14" Type="http://schemas.openxmlformats.org/officeDocument/2006/relationships/image" Target="media/graphique14.png"/><Relationship Id="rIdImg15" Type="http://schemas.openxmlformats.org/officeDocument/2006/relationships/image" Target="media/graphique15.png"/><Relationship Id="rIdImg16" Type="http://schemas.openxmlformats.org/officeDocument/2006/relationships/image" Target="media/graphique16.png"/><Relationship Id="rIdImg17" Type="http://schemas.openxmlformats.org/officeDocument/2006/relationships/image" Target="media/graphique17.png"/><Relationship Id="rIdImg18" Type="http://schemas.openxmlformats.org/officeDocument/2006/relationships/image" Target="media/graphique18.png"/><Relationship Id="rIdImg19" Type="http://schemas.openxmlformats.org/officeDocument/2006/relationships/image" Target="media/graphique19.png"/><Relationship Id="rIdImg20" Type="http://schemas.openxmlformats.org/officeDocument/2006/relationships/image" Target="media/graphique20.png"/><Relationship Id="rIdImg21" Type="http://schemas.openxmlformats.org/officeDocument/2006/relationships/image" Target="media/graphique21.png"/><Relationship Id="rIdImg22" Type="http://schemas.openxmlformats.org/officeDocument/2006/relationships/image" Target="media/graphique22.png"/><Relationship Id="rIdImg23" Type="http://schemas.openxmlformats.org/officeDocument/2006/relationships/image" Target="media/graphique23.png"/><Relationship Id="rIdImg24" Type="http://schemas.openxmlformats.org/officeDocument/2006/relationships/image" Target="media/graphique24.png"/><Relationship Id="rIdImg25" Type="http://schemas.openxmlformats.org/officeDocument/2006/relationships/image" Target="media/graphique25.png"/><Relationship Id="rIdImg26" Type="http://schemas.openxmlformats.org/officeDocument/2006/relationships/image" Target="media/graphique26.png"/><Relationship Id="rIdImg27" Type="http://schemas.openxmlformats.org/officeDocument/2006/relationships/image" Target="media/graphique27.png"/><Relationship Id="rIdImg28" Type="http://schemas.openxmlformats.org/officeDocument/2006/relationships/image" Target="media/graphique28.png"/></Relationships>
</file>

<file path=docProps/core.xml><?xml version="1.0" encoding="utf-8"?>
<cp:coreProperties xmlns:cp="http://schemas.openxmlformats.org/package/2006/metadata/core-properties" xmlns:dc="http://purl.org/dc/elements/1.1/" xmlns:dcterms="http://purl.org/dc/terms/" xmlns:xsi="http://www.w3.org/2001/XMLSchema-instance">
  <dc:title>Analyse BAB</dc:title>
  <dc:creator>Isaac</dc:creator>
  <dc:language>fr-FR</dc:language>
  <dcterms:created xsi:type="dcterms:W3CDTF">2026-10-09T21:49:47Z</dcterms:created>
</cp:coreProperties>
</file>