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Default Extension="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8" w:name="individuelle-praktische-arbeit-ipa"/>
    <w:p>
      <w:pPr>
        <w:pStyle w:val="Heading1"/>
      </w:pPr>
      <w:r>
        <w:rPr>
          <w:rStyle w:val="SectionNumber"/>
        </w:rPr>
        <w:t xml:space="preserve">1</w:t>
      </w:r>
      <w:r>
        <w:tab/>
      </w:r>
      <w:r>
        <w:t xml:space="preserve">Individuelle praktische Arbeit (IPA)</w:t>
      </w:r>
    </w:p>
    <w:bookmarkStart w:id="9" w:name="X2ec61a8790e4979c65a2fdab3226b87befbf644"/>
    <w:p>
      <w:pPr>
        <w:pStyle w:val="Heading2"/>
      </w:pPr>
      <w:r>
        <w:rPr>
          <w:rStyle w:val="SectionNumber"/>
        </w:rPr>
        <w:t xml:space="preserve">1.1</w:t>
      </w:r>
      <w:r>
        <w:tab/>
      </w:r>
      <w:r>
        <w:t xml:space="preserve">Barcode-Scanner-Anbindung an das Lagersystem</w:t>
      </w:r>
    </w:p>
    <w:p>
      <w:pPr>
        <w:pStyle w:val="FirstParagraph"/>
      </w:pPr>
      <w:r>
        <w:rPr>
          <w:b/>
          <w:bCs/>
        </w:rPr>
        <w:t xml:space="preserve">Nordlicht Logistik AG</w:t>
      </w:r>
      <w:r>
        <w:t xml:space="preserve"> </w:t>
      </w:r>
      <w:r>
        <w:t xml:space="preserve">Informatiker EFZ, Fachrichtung Applikationsentwicklung</w:t>
      </w:r>
    </w:p>
    <w:p>
      <w:pPr>
        <w:pStyle w:val="BodyText"/>
      </w:pPr>
      <w:r>
        <w:t xml:space="preserve">Kandidat: Timo Frei</w:t>
      </w:r>
      <w:r>
        <w:t xml:space="preserve"> </w:t>
      </w:r>
      <w:r>
        <w:t xml:space="preserve">Berufsbildner: Andreas Hubmann</w:t>
      </w:r>
      <w:r>
        <w:t xml:space="preserve"> </w:t>
      </w:r>
      <w:r>
        <w:t xml:space="preserve">Fachvorgesetzter: Martina Reusser</w:t>
      </w:r>
      <w:r>
        <w:t xml:space="preserve"> </w:t>
      </w:r>
      <w:r>
        <w:t xml:space="preserve">Hauptexperte: R. Baumgartner</w:t>
      </w:r>
      <w:r>
        <w:t xml:space="preserve"> </w:t>
      </w:r>
      <w:r>
        <w:t xml:space="preserve">Nebenexperte: S. Kälin</w:t>
      </w:r>
    </w:p>
    <w:p>
      <w:pPr>
        <w:pStyle w:val="BodyText"/>
      </w:pPr>
      <w:r>
        <w:t xml:space="preserve">Ausführungszeitraum: 21. April 2025 – 5. Mai 2025</w:t>
      </w:r>
      <w:r>
        <w:t xml:space="preserve"> </w:t>
      </w:r>
      <w:r>
        <w:t xml:space="preserve">Abgabe: 5. Mai 2025</w:t>
      </w:r>
    </w:p>
    <w:p>
      <w:r>
        <w:pict>
          <v:rect style="width:0;height:1.5pt" o:hralign="center" o:hrstd="t" o:hr="t"/>
        </w:pict>
      </w:r>
    </w:p>
    <w:bookmarkEnd w:id="9"/>
    <w:bookmarkStart w:id="10" w:name="vorwort"/>
    <w:p>
      <w:pPr>
        <w:pStyle w:val="Heading2"/>
      </w:pPr>
      <w:r>
        <w:rPr>
          <w:rStyle w:val="SectionNumber"/>
        </w:rPr>
        <w:t xml:space="preserve">1.2</w:t>
      </w:r>
      <w:r>
        <w:tab/>
      </w:r>
      <w:r>
        <w:t xml:space="preserve">Vorwort</w:t>
      </w:r>
    </w:p>
    <w:p>
      <w:pPr>
        <w:pStyle w:val="FirstParagraph"/>
      </w:pPr>
      <w:r>
        <w:t xml:space="preserve">Diese Dokumentation beschreibt meine individuelle praktische Arbeit (IPA), welche ich im Rahmen meiner Ausbildung zum Informatiker EFZ bei der Nordlicht Logistik AG durchgeführt habe. Die Nordlicht Logistik AG betreibt in Pratteln ein Verteilzentrum, über das täglich rund 4’000 Paletten für Kunden aus dem Detailhandel kommissioniert werden.</w:t>
      </w:r>
    </w:p>
    <w:p>
      <w:pPr>
        <w:pStyle w:val="BodyText"/>
      </w:pPr>
      <w:r>
        <w:t xml:space="preserve">Im Wareneingang wurden die eintreffenden Artikel bisher manuell erfasst. Die Mitarbeitenden tippten die Artikelnummer und die Menge von Hand in eine Erfassungsmaske. Das war fehleranfällig und langsam. Meine Aufgabe war es, die im Betrieb bereits vorhandenen Honeywell-Handscanner an unser Lagersystem «NoLoWMS» anzubinden, sodass ein Wareneingang durch das Scannen des EAN-13-Barcodes gebucht werden kann.</w:t>
      </w:r>
    </w:p>
    <w:p>
      <w:pPr>
        <w:pStyle w:val="BodyText"/>
      </w:pPr>
      <w:r>
        <w:t xml:space="preserve">Ich bedanke mich bei meinem Berufsbildner Andreas Hubmann für die Unterstützung sowie bei den Mitarbeitenden im Wareneingang, die mir geduldig ihren Arbeitsablauf gezeigt haben.</w:t>
      </w:r>
    </w:p>
    <w:p>
      <w:r>
        <w:pict>
          <v:rect style="width:0;height:1.5pt" o:hralign="center" o:hrstd="t" o:hr="t"/>
        </w:pict>
      </w:r>
    </w:p>
    <w:bookmarkEnd w:id="10"/>
    <w:bookmarkStart w:id="15" w:name="informieren"/>
    <w:p>
      <w:pPr>
        <w:pStyle w:val="Heading2"/>
      </w:pPr>
      <w:r>
        <w:rPr>
          <w:rStyle w:val="SectionNumber"/>
        </w:rPr>
        <w:t xml:space="preserve">1.3</w:t>
      </w:r>
      <w:r>
        <w:tab/>
      </w:r>
      <w:r>
        <w:t xml:space="preserve">1. Informieren</w:t>
      </w:r>
    </w:p>
    <w:bookmarkStart w:id="11" w:name="ausgangslage"/>
    <w:p>
      <w:pPr>
        <w:pStyle w:val="Heading3"/>
      </w:pPr>
      <w:r>
        <w:rPr>
          <w:rStyle w:val="SectionNumber"/>
        </w:rPr>
        <w:t xml:space="preserve">1.3.1</w:t>
      </w:r>
      <w:r>
        <w:tab/>
      </w:r>
      <w:r>
        <w:t xml:space="preserve">1.1 Ausgangslage</w:t>
      </w:r>
    </w:p>
    <w:p>
      <w:pPr>
        <w:pStyle w:val="FirstParagraph"/>
      </w:pPr>
      <w:r>
        <w:t xml:space="preserve">Das Lagersystem NoLoWMS ist eine interne Webanwendung (Java Spring Boot, PostgreSQL). Der Wareneingang wird heute über die Maske «WE-Erfassung» abgewickelt. Ein Mitarbeiter liest den Lieferschein, sucht die Artikelnummer und erfasst die Menge. Bei rund 350 Positionen pro Schicht entstehen laut Auswertung des letzten Quartals etwa 2,4 % Fehlbuchungen (falsche Artikelnummer oder Zahlendreher bei der Menge).</w:t>
      </w:r>
    </w:p>
    <w:p>
      <w:pPr>
        <w:pStyle w:val="BodyText"/>
      </w:pPr>
      <w:r>
        <w:t xml:space="preserve">Die Honeywell Voyager 1450g Scanner sind im Betrieb bereits vorhanden, werden aber nur an der Kasse des Personalshops verwendet. Sie funktionieren im Keyboard-Wedge-Modus, das heisst, ein gescannter Code wird wie eine Tastatureingabe an das aktive Feld gesendet, gefolgt von einem Carriage Return.</w:t>
      </w:r>
    </w:p>
    <w:bookmarkEnd w:id="11"/>
    <w:bookmarkStart w:id="12" w:name="aufgabenstellung"/>
    <w:p>
      <w:pPr>
        <w:pStyle w:val="Heading3"/>
      </w:pPr>
      <w:r>
        <w:rPr>
          <w:rStyle w:val="SectionNumber"/>
        </w:rPr>
        <w:t xml:space="preserve">1.3.2</w:t>
      </w:r>
      <w:r>
        <w:tab/>
      </w:r>
      <w:r>
        <w:t xml:space="preserve">1.2 Aufgabenstellung</w:t>
      </w:r>
    </w:p>
    <w:p>
      <w:pPr>
        <w:pStyle w:val="FirstParagraph"/>
      </w:pPr>
      <w:r>
        <w:t xml:space="preserve">Es soll eine Erweiterung der WE-Erfassungsmaske realisiert werden, welche das Scannen eines EAN-13-Barcodes verarbeitet, den zugehörigen Artikel aus der Datenbank auflöst und die Position vorbereitet. Der Mitarbeiter muss anschliessend nur noch die Menge bestätigen. Nicht auflösbare Codes müssen klar signalisiert werden.</w:t>
      </w:r>
    </w:p>
    <w:bookmarkEnd w:id="12"/>
    <w:bookmarkStart w:id="13" w:name="anforderungen"/>
    <w:p>
      <w:pPr>
        <w:pStyle w:val="Heading3"/>
      </w:pPr>
      <w:r>
        <w:rPr>
          <w:rStyle w:val="SectionNumber"/>
        </w:rPr>
        <w:t xml:space="preserve">1.3.3</w:t>
      </w:r>
      <w:r>
        <w:tab/>
      </w:r>
      <w:r>
        <w:t xml:space="preserve">1.3 Anforderungen</w:t>
      </w:r>
    </w:p>
    <w:p>
      <w:pPr>
        <w:pStyle w:val="FirstParagraph"/>
      </w:pPr>
      <w:r>
        <w:t xml:space="preserve">Funktionale Anforderungen:</w:t>
      </w:r>
    </w:p>
    <w:p>
      <w:pPr>
        <w:pStyle w:val="Compact"/>
        <w:numPr>
          <w:ilvl w:val="0"/>
          <w:numId w:val="1001"/>
        </w:numPr>
      </w:pPr>
      <w:r>
        <w:t xml:space="preserve">FA01: Das System liest einen gescannten EAN-13-Code aus dem Eingabefeld ein.</w:t>
      </w:r>
    </w:p>
    <w:p>
      <w:pPr>
        <w:pStyle w:val="Compact"/>
        <w:numPr>
          <w:ilvl w:val="0"/>
          <w:numId w:val="1001"/>
        </w:numPr>
      </w:pPr>
      <w:r>
        <w:t xml:space="preserve">FA02: Das System prüft die Prüfziffer des EAN-13-Codes.</w:t>
      </w:r>
    </w:p>
    <w:p>
      <w:pPr>
        <w:pStyle w:val="Compact"/>
        <w:numPr>
          <w:ilvl w:val="0"/>
          <w:numId w:val="1001"/>
        </w:numPr>
      </w:pPr>
      <w:r>
        <w:t xml:space="preserve">FA03: Das System löst den Code über die Tabelle</w:t>
      </w:r>
      <w:r>
        <w:t xml:space="preserve"> </w:t>
      </w:r>
      <w:r>
        <w:rPr>
          <w:rStyle w:val="VerbatimChar"/>
        </w:rPr>
        <w:t xml:space="preserve">artikel_ean</w:t>
      </w:r>
      <w:r>
        <w:t xml:space="preserve"> </w:t>
      </w:r>
      <w:r>
        <w:t xml:space="preserve">in eine interne Artikelnummer auf.</w:t>
      </w:r>
    </w:p>
    <w:p>
      <w:pPr>
        <w:pStyle w:val="Compact"/>
        <w:numPr>
          <w:ilvl w:val="0"/>
          <w:numId w:val="1001"/>
        </w:numPr>
      </w:pPr>
      <w:r>
        <w:t xml:space="preserve">FA04: Bei erfolgreicher Auflösung wird die Artikelbezeichnung und die zuletzt erfasste Menge angezeigt.</w:t>
      </w:r>
    </w:p>
    <w:p>
      <w:pPr>
        <w:pStyle w:val="Compact"/>
        <w:numPr>
          <w:ilvl w:val="0"/>
          <w:numId w:val="1001"/>
        </w:numPr>
      </w:pPr>
      <w:r>
        <w:t xml:space="preserve">FA05: Bei unbekanntem Code wird eine Fehlermeldung mit dem gescannten Code angezeigt.</w:t>
      </w:r>
    </w:p>
    <w:p>
      <w:pPr>
        <w:pStyle w:val="Compact"/>
        <w:numPr>
          <w:ilvl w:val="0"/>
          <w:numId w:val="1001"/>
        </w:numPr>
      </w:pPr>
      <w:r>
        <w:t xml:space="preserve">FA06: Mehrfaches Scannen desselben Codes erhöht die Menge um 1.</w:t>
      </w:r>
    </w:p>
    <w:p>
      <w:pPr>
        <w:pStyle w:val="FirstParagraph"/>
      </w:pPr>
      <w:r>
        <w:t xml:space="preserve">Nicht-funktionale Anforderungen:</w:t>
      </w:r>
    </w:p>
    <w:p>
      <w:pPr>
        <w:pStyle w:val="Compact"/>
        <w:numPr>
          <w:ilvl w:val="0"/>
          <w:numId w:val="1002"/>
        </w:numPr>
      </w:pPr>
      <w:r>
        <w:t xml:space="preserve">NFA01: Die Auflösung eines Codes darf nicht länger als 300 ms dauern.</w:t>
      </w:r>
    </w:p>
    <w:p>
      <w:pPr>
        <w:pStyle w:val="Compact"/>
        <w:numPr>
          <w:ilvl w:val="0"/>
          <w:numId w:val="1002"/>
        </w:numPr>
      </w:pPr>
      <w:r>
        <w:t xml:space="preserve">NFA02: Die Lösung muss ohne zusätzliche Hardware auskommen (bestehende Scanner im Keyboard-Wedge-Modus).</w:t>
      </w:r>
    </w:p>
    <w:p>
      <w:pPr>
        <w:pStyle w:val="Compact"/>
        <w:numPr>
          <w:ilvl w:val="0"/>
          <w:numId w:val="1002"/>
        </w:numPr>
      </w:pPr>
      <w:r>
        <w:t xml:space="preserve">NFA03: Der Code muss den Firmenstandards von Nordlicht entsprechen und getestet sein.</w:t>
      </w:r>
    </w:p>
    <w:bookmarkEnd w:id="13"/>
    <w:bookmarkStart w:id="14" w:name="technologien"/>
    <w:p>
      <w:pPr>
        <w:pStyle w:val="Heading3"/>
      </w:pPr>
      <w:r>
        <w:rPr>
          <w:rStyle w:val="SectionNumber"/>
        </w:rPr>
        <w:t xml:space="preserve">1.3.4</w:t>
      </w:r>
      <w:r>
        <w:tab/>
      </w:r>
      <w:r>
        <w:t xml:space="preserve">1.4 Technologien</w:t>
      </w:r>
    </w:p>
    <w:p>
      <w:pPr>
        <w:pStyle w:val="Compact"/>
        <w:numPr>
          <w:ilvl w:val="0"/>
          <w:numId w:val="1003"/>
        </w:numPr>
      </w:pPr>
      <w:r>
        <w:t xml:space="preserve">Java 17, Spring Boot 3.1</w:t>
      </w:r>
    </w:p>
    <w:p>
      <w:pPr>
        <w:pStyle w:val="Compact"/>
        <w:numPr>
          <w:ilvl w:val="0"/>
          <w:numId w:val="1003"/>
        </w:numPr>
      </w:pPr>
      <w:r>
        <w:t xml:space="preserve">PostgreSQL 14</w:t>
      </w:r>
    </w:p>
    <w:p>
      <w:pPr>
        <w:pStyle w:val="Compact"/>
        <w:numPr>
          <w:ilvl w:val="0"/>
          <w:numId w:val="1003"/>
        </w:numPr>
      </w:pPr>
      <w:r>
        <w:t xml:space="preserve">Thymeleaf für das Frontend, ergänzt mit etwas Vanilla-JavaScript für die Scanner-Behandlung</w:t>
      </w:r>
    </w:p>
    <w:p>
      <w:pPr>
        <w:pStyle w:val="Compact"/>
        <w:numPr>
          <w:ilvl w:val="0"/>
          <w:numId w:val="1003"/>
        </w:numPr>
      </w:pPr>
      <w:r>
        <w:t xml:space="preserve">JUnit 5 und Mockito für die Tests</w:t>
      </w:r>
    </w:p>
    <w:p>
      <w:pPr>
        <w:pStyle w:val="Compact"/>
        <w:numPr>
          <w:ilvl w:val="0"/>
          <w:numId w:val="1003"/>
        </w:numPr>
      </w:pPr>
      <w:r>
        <w:t xml:space="preserve">Git / GitLab für die Versionsverwaltung</w:t>
      </w:r>
    </w:p>
    <w:p>
      <w:r>
        <w:pict>
          <v:rect style="width:0;height:1.5pt" o:hralign="center" o:hrstd="t" o:hr="t"/>
        </w:pict>
      </w:r>
    </w:p>
    <w:bookmarkEnd w:id="14"/>
    <w:bookmarkEnd w:id="15"/>
    <w:bookmarkStart w:id="19" w:name="planen"/>
    <w:p>
      <w:pPr>
        <w:pStyle w:val="Heading2"/>
      </w:pPr>
      <w:r>
        <w:rPr>
          <w:rStyle w:val="SectionNumber"/>
        </w:rPr>
        <w:t xml:space="preserve">1.4</w:t>
      </w:r>
      <w:r>
        <w:tab/>
      </w:r>
      <w:r>
        <w:t xml:space="preserve">2. Planen</w:t>
      </w:r>
    </w:p>
    <w:bookmarkStart w:id="16" w:name="vorgehen"/>
    <w:p>
      <w:pPr>
        <w:pStyle w:val="Heading3"/>
      </w:pPr>
      <w:r>
        <w:rPr>
          <w:rStyle w:val="SectionNumber"/>
        </w:rPr>
        <w:t xml:space="preserve">1.4.1</w:t>
      </w:r>
      <w:r>
        <w:tab/>
      </w:r>
      <w:r>
        <w:t xml:space="preserve">2.1 Vorgehen</w:t>
      </w:r>
    </w:p>
    <w:p>
      <w:pPr>
        <w:pStyle w:val="FirstParagraph"/>
      </w:pPr>
      <w:r>
        <w:t xml:space="preserve">Ich habe die Arbeit nach IPERKA strukturiert und in Teilaufgaben zerlegt. Für die Zeitplanung habe ich die 40 Stunden auf die Phasen verteilt: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Geplant</w:t>
            </w:r>
          </w:p>
        </w:tc>
        <w:tc>
          <w:tcPr/>
          <w:p>
            <w:pPr>
              <w:pStyle w:val="Compact"/>
            </w:pPr>
            <w:r>
              <w:t xml:space="preserve">Tätigkeit</w:t>
            </w:r>
          </w:p>
        </w:tc>
      </w:tr>
      <w:tr>
        <w:tc>
          <w:tcPr/>
          <w:p>
            <w:pPr>
              <w:pStyle w:val="Compact"/>
            </w:pPr>
            <w:r>
              <w:t xml:space="preserve">Informieren</w:t>
            </w:r>
          </w:p>
        </w:tc>
        <w:tc>
          <w:tcPr/>
          <w:p>
            <w:pPr>
              <w:pStyle w:val="Compact"/>
            </w:pPr>
            <w:r>
              <w:t xml:space="preserve">4 h</w:t>
            </w:r>
          </w:p>
        </w:tc>
        <w:tc>
          <w:tcPr/>
          <w:p>
            <w:pPr>
              <w:pStyle w:val="Compact"/>
            </w:pPr>
            <w:r>
              <w:t xml:space="preserve">Ist-Analyse, Scanner-Verhalten testen</w:t>
            </w:r>
          </w:p>
        </w:tc>
      </w:tr>
      <w:tr>
        <w:tc>
          <w:tcPr/>
          <w:p>
            <w:pPr>
              <w:pStyle w:val="Compact"/>
            </w:pPr>
            <w:r>
              <w:t xml:space="preserve">Planen</w:t>
            </w:r>
          </w:p>
        </w:tc>
        <w:tc>
          <w:tcPr/>
          <w:p>
            <w:pPr>
              <w:pStyle w:val="Compact"/>
            </w:pPr>
            <w:r>
              <w:t xml:space="preserve">4 h</w:t>
            </w:r>
          </w:p>
        </w:tc>
        <w:tc>
          <w:tcPr/>
          <w:p>
            <w:pPr>
              <w:pStyle w:val="Compact"/>
            </w:pPr>
            <w:r>
              <w:t xml:space="preserve">Konzept, Datenmodell, Testfälle</w:t>
            </w:r>
          </w:p>
        </w:tc>
      </w:tr>
      <w:tr>
        <w:tc>
          <w:tcPr/>
          <w:p>
            <w:pPr>
              <w:pStyle w:val="Compact"/>
            </w:pPr>
            <w:r>
              <w:t xml:space="preserve">Entscheiden</w:t>
            </w:r>
          </w:p>
        </w:tc>
        <w:tc>
          <w:tcPr/>
          <w:p>
            <w:pPr>
              <w:pStyle w:val="Compact"/>
            </w:pPr>
            <w:r>
              <w:t xml:space="preserve">2 h</w:t>
            </w:r>
          </w:p>
        </w:tc>
        <w:tc>
          <w:tcPr/>
          <w:p>
            <w:pPr>
              <w:pStyle w:val="Compact"/>
            </w:pPr>
            <w:r>
              <w:t xml:space="preserve">Variantenentscheid Scanner-Anbindung</w:t>
            </w:r>
          </w:p>
        </w:tc>
      </w:tr>
      <w:tr>
        <w:tc>
          <w:tcPr/>
          <w:p>
            <w:pPr>
              <w:pStyle w:val="Compact"/>
            </w:pPr>
            <w:r>
              <w:t xml:space="preserve">Realisieren</w:t>
            </w:r>
          </w:p>
        </w:tc>
        <w:tc>
          <w:tcPr/>
          <w:p>
            <w:pPr>
              <w:pStyle w:val="Compact"/>
            </w:pPr>
            <w:r>
              <w:t xml:space="preserve">22 h</w:t>
            </w:r>
          </w:p>
        </w:tc>
        <w:tc>
          <w:tcPr/>
          <w:p>
            <w:pPr>
              <w:pStyle w:val="Compact"/>
            </w:pPr>
            <w:r>
              <w:t xml:space="preserve">Implementierung inkl. Tests</w:t>
            </w:r>
          </w:p>
        </w:tc>
      </w:tr>
      <w:tr>
        <w:tc>
          <w:tcPr/>
          <w:p>
            <w:pPr>
              <w:pStyle w:val="Compact"/>
            </w:pPr>
            <w:r>
              <w:t xml:space="preserve">Kontrollieren</w:t>
            </w:r>
          </w:p>
        </w:tc>
        <w:tc>
          <w:tcPr/>
          <w:p>
            <w:pPr>
              <w:pStyle w:val="Compact"/>
            </w:pPr>
            <w:r>
              <w:t xml:space="preserve">4 h</w:t>
            </w:r>
          </w:p>
        </w:tc>
        <w:tc>
          <w:tcPr/>
          <w:p>
            <w:pPr>
              <w:pStyle w:val="Compact"/>
            </w:pPr>
            <w:r>
              <w:t xml:space="preserve">Systemtest, Abnahme mit Wareneingang</w:t>
            </w:r>
          </w:p>
        </w:tc>
      </w:tr>
      <w:tr>
        <w:tc>
          <w:tcPr/>
          <w:p>
            <w:pPr>
              <w:pStyle w:val="Compact"/>
            </w:pPr>
            <w:r>
              <w:t xml:space="preserve">Auswerten</w:t>
            </w:r>
          </w:p>
        </w:tc>
        <w:tc>
          <w:tcPr/>
          <w:p>
            <w:pPr>
              <w:pStyle w:val="Compact"/>
            </w:pPr>
            <w:r>
              <w:t xml:space="preserve">4 h</w:t>
            </w:r>
          </w:p>
        </w:tc>
        <w:tc>
          <w:tcPr/>
          <w:p>
            <w:pPr>
              <w:pStyle w:val="Compact"/>
            </w:pPr>
            <w:r>
              <w:t xml:space="preserve">Reflexion, Dokumentation abschliessen</w:t>
            </w:r>
          </w:p>
        </w:tc>
      </w:tr>
    </w:tbl>
    <w:bookmarkEnd w:id="16"/>
    <w:bookmarkStart w:id="17" w:name="datenmodell"/>
    <w:p>
      <w:pPr>
        <w:pStyle w:val="Heading3"/>
      </w:pPr>
      <w:r>
        <w:rPr>
          <w:rStyle w:val="SectionNumber"/>
        </w:rPr>
        <w:t xml:space="preserve">1.4.2</w:t>
      </w:r>
      <w:r>
        <w:tab/>
      </w:r>
      <w:r>
        <w:t xml:space="preserve">2.2 Datenmodell</w:t>
      </w:r>
    </w:p>
    <w:p>
      <w:pPr>
        <w:pStyle w:val="FirstParagraph"/>
      </w:pPr>
      <w:r>
        <w:t xml:space="preserve">Die Tabelle</w:t>
      </w:r>
      <w:r>
        <w:t xml:space="preserve"> </w:t>
      </w:r>
      <w:r>
        <w:rPr>
          <w:rStyle w:val="VerbatimChar"/>
        </w:rPr>
        <w:t xml:space="preserve">artikel_ean</w:t>
      </w:r>
      <w:r>
        <w:t xml:space="preserve"> </w:t>
      </w:r>
      <w:r>
        <w:t xml:space="preserve">verknüpft die Artikelnummer mit einem oder mehreren EAN-Codes (ein Artikel kann mehrere Gebindegrössen haben):</w:t>
      </w:r>
    </w:p>
    <w:p>
      <w:pPr>
        <w:pStyle w:val="SourceCode"/>
      </w:pPr>
      <w:r>
        <w:rPr>
          <w:rStyle w:val="VerbatimChar"/>
        </w:rPr>
        <w:t xml:space="preserve">artikel_ean</w:t>
      </w:r>
      <w:r>
        <w:br/>
      </w:r>
      <w:r>
        <w:rPr>
          <w:rStyle w:val="VerbatimChar"/>
        </w:rPr>
        <w:t xml:space="preserve">-----------</w:t>
      </w:r>
      <w:r>
        <w:br/>
      </w:r>
      <w:r>
        <w:rPr>
          <w:rStyle w:val="VerbatimChar"/>
        </w:rPr>
        <w:t xml:space="preserve">ean         VARCHAR(13) PRIMARY KEY</w:t>
      </w:r>
      <w:r>
        <w:br/>
      </w:r>
      <w:r>
        <w:rPr>
          <w:rStyle w:val="VerbatimChar"/>
        </w:rPr>
        <w:t xml:space="preserve">artikel_nr  VARCHAR(10) NOT NULL REFERENCES artikel(artikel_nr)</w:t>
      </w:r>
      <w:r>
        <w:br/>
      </w:r>
      <w:r>
        <w:rPr>
          <w:rStyle w:val="VerbatimChar"/>
        </w:rPr>
        <w:t xml:space="preserve">gebinde     VARCHAR(20)</w:t>
      </w:r>
    </w:p>
    <w:bookmarkEnd w:id="17"/>
    <w:bookmarkStart w:id="18" w:name="testkonzept"/>
    <w:p>
      <w:pPr>
        <w:pStyle w:val="Heading3"/>
      </w:pPr>
      <w:r>
        <w:rPr>
          <w:rStyle w:val="SectionNumber"/>
        </w:rPr>
        <w:t xml:space="preserve">1.4.3</w:t>
      </w:r>
      <w:r>
        <w:tab/>
      </w:r>
      <w:r>
        <w:t xml:space="preserve">2.3 Testkonzept</w:t>
      </w:r>
    </w:p>
    <w:p>
      <w:pPr>
        <w:pStyle w:val="FirstParagraph"/>
      </w:pPr>
      <w:r>
        <w:t xml:space="preserve">Ich habe mich für einen testgetriebenen Ansatz (TDD) entschieden. Zentral ist die Klasse</w:t>
      </w:r>
      <w:r>
        <w:t xml:space="preserve"> </w:t>
      </w:r>
      <w:r>
        <w:rPr>
          <w:rStyle w:val="VerbatimChar"/>
        </w:rPr>
        <w:t xml:space="preserve">EanValidator</w:t>
      </w:r>
      <w:r>
        <w:t xml:space="preserve"> </w:t>
      </w:r>
      <w:r>
        <w:t xml:space="preserve">(Prüfziffernberechnung) und der</w:t>
      </w:r>
      <w:r>
        <w:t xml:space="preserve"> </w:t>
      </w:r>
      <w:r>
        <w:rPr>
          <w:rStyle w:val="VerbatimChar"/>
        </w:rPr>
        <w:t xml:space="preserve">ScanService</w:t>
      </w:r>
      <w:r>
        <w:t xml:space="preserve"> </w:t>
      </w:r>
      <w:r>
        <w:t xml:space="preserve">(Auflösung). Beide werden mit Unit-Tests abgedeckt. Beispiele geplanter Testfälle:</w:t>
      </w:r>
    </w:p>
    <w:p>
      <w:pPr>
        <w:pStyle w:val="Compact"/>
        <w:numPr>
          <w:ilvl w:val="0"/>
          <w:numId w:val="1004"/>
        </w:numPr>
      </w:pPr>
      <w:r>
        <w:t xml:space="preserve">gültiger Code</w:t>
      </w:r>
      <w:r>
        <w:t xml:space="preserve"> </w:t>
      </w:r>
      <w:r>
        <w:rPr>
          <w:rStyle w:val="VerbatimChar"/>
        </w:rPr>
        <w:t xml:space="preserve">7610827000123</w:t>
      </w:r>
      <w:r>
        <w:t xml:space="preserve"> </w:t>
      </w:r>
      <w:r>
        <w:t xml:space="preserve">→ Prüfziffer korrekt</w:t>
      </w:r>
    </w:p>
    <w:p>
      <w:pPr>
        <w:pStyle w:val="Compact"/>
        <w:numPr>
          <w:ilvl w:val="0"/>
          <w:numId w:val="1004"/>
        </w:numPr>
      </w:pPr>
      <w:r>
        <w:t xml:space="preserve">Code mit falscher Prüfziffer → wird abgelehnt</w:t>
      </w:r>
    </w:p>
    <w:p>
      <w:pPr>
        <w:pStyle w:val="Compact"/>
        <w:numPr>
          <w:ilvl w:val="0"/>
          <w:numId w:val="1004"/>
        </w:numPr>
      </w:pPr>
      <w:r>
        <w:t xml:space="preserve">bekannter Code → liefert Artikelnummer</w:t>
      </w:r>
    </w:p>
    <w:p>
      <w:pPr>
        <w:pStyle w:val="Compact"/>
        <w:numPr>
          <w:ilvl w:val="0"/>
          <w:numId w:val="1004"/>
        </w:numPr>
      </w:pPr>
      <w:r>
        <w:t xml:space="preserve">unbekannter Code → wirft</w:t>
      </w:r>
      <w:r>
        <w:t xml:space="preserve"> </w:t>
      </w:r>
      <w:r>
        <w:rPr>
          <w:rStyle w:val="VerbatimChar"/>
        </w:rPr>
        <w:t xml:space="preserve">ArticleNotFoundException</w:t>
      </w:r>
    </w:p>
    <w:p>
      <w:r>
        <w:pict>
          <v:rect style="width:0;height:1.5pt" o:hralign="center" o:hrstd="t" o:hr="t"/>
        </w:pict>
      </w:r>
    </w:p>
    <w:bookmarkEnd w:id="18"/>
    <w:bookmarkEnd w:id="19"/>
    <w:bookmarkStart w:id="20" w:name="entscheiden"/>
    <w:p>
      <w:pPr>
        <w:pStyle w:val="Heading2"/>
      </w:pPr>
      <w:r>
        <w:rPr>
          <w:rStyle w:val="SectionNumber"/>
        </w:rPr>
        <w:t xml:space="preserve">1.5</w:t>
      </w:r>
      <w:r>
        <w:tab/>
      </w:r>
      <w:r>
        <w:t xml:space="preserve">3. Entscheiden</w:t>
      </w:r>
    </w:p>
    <w:p>
      <w:pPr>
        <w:pStyle w:val="FirstParagraph"/>
      </w:pPr>
      <w:r>
        <w:t xml:space="preserve">Für die Anbindung der Scanner standen zwei Varianten zur Auswahl.</w:t>
      </w:r>
    </w:p>
    <w:p>
      <w:pPr>
        <w:pStyle w:val="BodyText"/>
      </w:pPr>
      <w:r>
        <w:rPr>
          <w:b/>
          <w:bCs/>
        </w:rPr>
        <w:t xml:space="preserve">Variante A – Keyboard-Wedge:</w:t>
      </w:r>
      <w:r>
        <w:t xml:space="preserve"> </w:t>
      </w:r>
      <w:r>
        <w:t xml:space="preserve">Der Scanner sendet den Code als Tastatureingabe. Ein verstecktes Eingabefeld fängt die Zeichen ab, das abschliessende Carriage Return löst die Verarbeitung aus.</w:t>
      </w:r>
    </w:p>
    <w:p>
      <w:pPr>
        <w:pStyle w:val="BodyText"/>
      </w:pPr>
      <w:r>
        <w:rPr>
          <w:b/>
          <w:bCs/>
        </w:rPr>
        <w:t xml:space="preserve">Variante B – SDK-Anbindung:</w:t>
      </w:r>
      <w:r>
        <w:t xml:space="preserve"> </w:t>
      </w:r>
      <w:r>
        <w:t xml:space="preserve">Direkte Ansteuerung der Scanner über das Honeywell-SDK und einen lokalen Dienst.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Kriterium</w:t>
            </w:r>
          </w:p>
        </w:tc>
        <w:tc>
          <w:tcPr/>
          <w:p>
            <w:pPr>
              <w:pStyle w:val="Compact"/>
            </w:pPr>
            <w:r>
              <w:t xml:space="preserve">Variante A</w:t>
            </w:r>
          </w:p>
        </w:tc>
        <w:tc>
          <w:tcPr/>
          <w:p>
            <w:pPr>
              <w:pStyle w:val="Compact"/>
            </w:pPr>
            <w:r>
              <w:t xml:space="preserve">Variante B</w:t>
            </w:r>
          </w:p>
        </w:tc>
      </w:tr>
      <w:tr>
        <w:tc>
          <w:tcPr/>
          <w:p>
            <w:pPr>
              <w:pStyle w:val="Compact"/>
            </w:pPr>
            <w:r>
              <w:t xml:space="preserve">Zusätzliche Hardware/Software</w:t>
            </w:r>
          </w:p>
        </w:tc>
        <w:tc>
          <w:tcPr/>
          <w:p>
            <w:pPr>
              <w:pStyle w:val="Compact"/>
            </w:pPr>
            <w:r>
              <w:t xml:space="preserve">keine</w:t>
            </w:r>
          </w:p>
        </w:tc>
        <w:tc>
          <w:tcPr/>
          <w:p>
            <w:pPr>
              <w:pStyle w:val="Compact"/>
            </w:pPr>
            <w:r>
              <w:t xml:space="preserve">lokaler Dienst nötig</w:t>
            </w:r>
          </w:p>
        </w:tc>
      </w:tr>
      <w:tr>
        <w:tc>
          <w:tcPr/>
          <w:p>
            <w:pPr>
              <w:pStyle w:val="Compact"/>
            </w:pPr>
            <w:r>
              <w:t xml:space="preserve">Aufwand</w:t>
            </w:r>
          </w:p>
        </w:tc>
        <w:tc>
          <w:tcPr/>
          <w:p>
            <w:pPr>
              <w:pStyle w:val="Compact"/>
            </w:pPr>
            <w:r>
              <w:t xml:space="preserve">gering</w:t>
            </w:r>
          </w:p>
        </w:tc>
        <w:tc>
          <w:tcPr/>
          <w:p>
            <w:pPr>
              <w:pStyle w:val="Compact"/>
            </w:pPr>
            <w:r>
              <w:t xml:space="preserve">hoch</w:t>
            </w:r>
          </w:p>
        </w:tc>
      </w:tr>
      <w:tr>
        <w:tc>
          <w:tcPr/>
          <w:p>
            <w:pPr>
              <w:pStyle w:val="Compact"/>
            </w:pPr>
            <w:r>
              <w:t xml:space="preserve">Wartbarkeit</w:t>
            </w:r>
          </w:p>
        </w:tc>
        <w:tc>
          <w:tcPr/>
          <w:p>
            <w:pPr>
              <w:pStyle w:val="Compact"/>
            </w:pPr>
            <w:r>
              <w:t xml:space="preserve">gut</w:t>
            </w:r>
          </w:p>
        </w:tc>
        <w:tc>
          <w:tcPr/>
          <w:p>
            <w:pPr>
              <w:pStyle w:val="Compact"/>
            </w:pPr>
            <w:r>
              <w:t xml:space="preserve">Abhängigkeit vom SDK</w:t>
            </w:r>
          </w:p>
        </w:tc>
      </w:tr>
      <w:tr>
        <w:tc>
          <w:tcPr/>
          <w:p>
            <w:pPr>
              <w:pStyle w:val="Compact"/>
            </w:pPr>
            <w:r>
              <w:t xml:space="preserve">Erfüllt NFA02</w:t>
            </w:r>
          </w:p>
        </w:tc>
        <w:tc>
          <w:tcPr/>
          <w:p>
            <w:pPr>
              <w:pStyle w:val="Compact"/>
            </w:pPr>
            <w:r>
              <w:t xml:space="preserve">ja</w:t>
            </w:r>
          </w:p>
        </w:tc>
        <w:tc>
          <w:tcPr/>
          <w:p>
            <w:pPr>
              <w:pStyle w:val="Compact"/>
            </w:pPr>
            <w:r>
              <w:t xml:space="preserve">nein</w:t>
            </w:r>
          </w:p>
        </w:tc>
      </w:tr>
    </w:tbl>
    <w:p>
      <w:pPr>
        <w:pStyle w:val="BodyText"/>
      </w:pPr>
      <w:r>
        <w:t xml:space="preserve">Ich habe mich für</w:t>
      </w:r>
      <w:r>
        <w:t xml:space="preserve"> </w:t>
      </w:r>
      <w:r>
        <w:rPr>
          <w:b/>
          <w:bCs/>
        </w:rPr>
        <w:t xml:space="preserve">Variante A</w:t>
      </w:r>
      <w:r>
        <w:t xml:space="preserve"> </w:t>
      </w:r>
      <w:r>
        <w:t xml:space="preserve">entschieden, weil sie NFA02 erfüllt, mit der vorhandenen Hardware auskommt und im vorgegebenen Zeitrahmen realistisch umsetzbar ist.</w:t>
      </w:r>
    </w:p>
    <w:p>
      <w:r>
        <w:pict>
          <v:rect style="width:0;height:1.5pt" o:hralign="center" o:hrstd="t" o:hr="t"/>
        </w:pict>
      </w:r>
    </w:p>
    <w:bookmarkEnd w:id="20"/>
    <w:bookmarkStart w:id="25" w:name="realisieren"/>
    <w:p>
      <w:pPr>
        <w:pStyle w:val="Heading2"/>
      </w:pPr>
      <w:r>
        <w:rPr>
          <w:rStyle w:val="SectionNumber"/>
        </w:rPr>
        <w:t xml:space="preserve">1.6</w:t>
      </w:r>
      <w:r>
        <w:tab/>
      </w:r>
      <w:r>
        <w:t xml:space="preserve">4. Realisieren</w:t>
      </w:r>
    </w:p>
    <w:bookmarkStart w:id="21" w:name="ean-validierung"/>
    <w:p>
      <w:pPr>
        <w:pStyle w:val="Heading3"/>
      </w:pPr>
      <w:r>
        <w:rPr>
          <w:rStyle w:val="SectionNumber"/>
        </w:rPr>
        <w:t xml:space="preserve">1.6.1</w:t>
      </w:r>
      <w:r>
        <w:tab/>
      </w:r>
      <w:r>
        <w:t xml:space="preserve">4.1 EAN-Validierung</w:t>
      </w:r>
    </w:p>
    <w:p>
      <w:pPr>
        <w:pStyle w:val="FirstParagraph"/>
      </w:pPr>
      <w:r>
        <w:t xml:space="preserve">Als Erstes habe ich die Prüfziffernlogik testgetrieben umgesetzt. Ein EAN-13-Code besteht aus 12 Nutzziffern und einer Prüfziffer. Die Prüfziffer ergibt sich aus der gewichteten Summe (abwechselnd Faktor 1 und 3).</w:t>
      </w:r>
    </w:p>
    <w:p>
      <w:pPr>
        <w:pStyle w:val="SourceCode"/>
      </w:pP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isValid</w:t>
      </w:r>
      <w:r>
        <w:rPr>
          <w:rStyle w:val="OperatorTok"/>
        </w:rPr>
        <w:t xml:space="preserve">(</w:t>
      </w:r>
      <w:r>
        <w:rPr>
          <w:rStyle w:val="BuiltInTok"/>
        </w:rPr>
        <w:t xml:space="preserve">String</w:t>
      </w:r>
      <w:r>
        <w:rPr>
          <w:rStyle w:val="NormalTok"/>
        </w:rPr>
        <w:t xml:space="preserve"> ean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ean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ean</w:t>
      </w:r>
      <w:r>
        <w:rPr>
          <w:rStyle w:val="OperatorTok"/>
        </w:rPr>
        <w:t xml:space="preserve">.</w:t>
      </w:r>
      <w:r>
        <w:rPr>
          <w:rStyle w:val="FunctionTok"/>
        </w:rPr>
        <w:t xml:space="preserve">length</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13</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ean</w:t>
      </w:r>
      <w:r>
        <w:rPr>
          <w:rStyle w:val="OperatorTok"/>
        </w:rPr>
        <w:t xml:space="preserve">.</w:t>
      </w:r>
      <w:r>
        <w:rPr>
          <w:rStyle w:val="FunctionTok"/>
        </w:rPr>
        <w:t xml:space="preserve">matches</w:t>
      </w:r>
      <w:r>
        <w:rPr>
          <w:rStyle w:val="OperatorTok"/>
        </w:rPr>
        <w:t xml:space="preserve">(</w:t>
      </w:r>
      <w:r>
        <w:rPr>
          <w:rStyle w:val="StringTok"/>
        </w:rPr>
        <w:t xml:space="preserve">"</w:t>
      </w:r>
      <w:r>
        <w:rPr>
          <w:rStyle w:val="SpecialCharTok"/>
        </w:rPr>
        <w:t xml:space="preserve">\\</w:t>
      </w:r>
      <w:r>
        <w:rPr>
          <w:rStyle w:val="StringTok"/>
        </w:rPr>
        <w:t xml:space="preserve">d{13}"</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sum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12</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digit </w:t>
      </w:r>
      <w:r>
        <w:rPr>
          <w:rStyle w:val="OperatorTok"/>
        </w:rPr>
        <w:t xml:space="preserve">=</w:t>
      </w:r>
      <w:r>
        <w:rPr>
          <w:rStyle w:val="NormalTok"/>
        </w:rPr>
        <w:t xml:space="preserve"> ean</w:t>
      </w:r>
      <w:r>
        <w:rPr>
          <w:rStyle w:val="OperatorTok"/>
        </w:rPr>
        <w:t xml:space="preserve">.</w:t>
      </w:r>
      <w:r>
        <w:rPr>
          <w:rStyle w:val="FunctionTok"/>
        </w:rPr>
        <w:t xml:space="preserve">charAt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'0'</w:t>
      </w:r>
      <w:r>
        <w:rPr>
          <w:rStyle w:val="OperatorTok"/>
        </w:rPr>
        <w:t xml:space="preserve">;</w:t>
      </w:r>
      <w:r>
        <w:br/>
      </w:r>
      <w:r>
        <w:rPr>
          <w:rStyle w:val="NormalTok"/>
        </w:rPr>
        <w:t xml:space="preserve">        sum </w:t>
      </w:r>
      <w:r>
        <w:rPr>
          <w:rStyle w:val="OperatorTok"/>
        </w:rPr>
        <w:t xml:space="preserve">+=</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digit </w:t>
      </w:r>
      <w:r>
        <w:rPr>
          <w:rStyle w:val="OperatorTok"/>
        </w:rPr>
        <w:t xml:space="preserve">:</w:t>
      </w:r>
      <w:r>
        <w:rPr>
          <w:rStyle w:val="NormalTok"/>
        </w:rPr>
        <w:t xml:space="preserve"> digit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check </w:t>
      </w:r>
      <w:r>
        <w:rPr>
          <w:rStyle w:val="OperatorTok"/>
        </w:rPr>
        <w:t xml:space="preserve">=</w:t>
      </w:r>
      <w:r>
        <w:rPr>
          <w:rStyle w:val="NormalTok"/>
        </w:rPr>
        <w:t xml:space="preserve"> </w:t>
      </w:r>
      <w:r>
        <w:rPr>
          <w:rStyle w:val="OperatorTok"/>
        </w:rPr>
        <w:t xml:space="preserve">(</w:t>
      </w:r>
      <w:r>
        <w:rPr>
          <w:rStyle w:val="DecValTok"/>
        </w:rPr>
        <w:t xml:space="preserve">10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sum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ControlFlowTok"/>
        </w:rPr>
        <w:t xml:space="preserve">return</w:t>
      </w:r>
      <w:r>
        <w:rPr>
          <w:rStyle w:val="NormalTok"/>
        </w:rPr>
        <w:t xml:space="preserve"> check </w:t>
      </w:r>
      <w:r>
        <w:rPr>
          <w:rStyle w:val="OperatorTok"/>
        </w:rPr>
        <w:t xml:space="preserve">==</w:t>
      </w:r>
      <w:r>
        <w:rPr>
          <w:rStyle w:val="NormalTok"/>
        </w:rPr>
        <w:t xml:space="preserve"> </w:t>
      </w:r>
      <w:r>
        <w:rPr>
          <w:rStyle w:val="OperatorTok"/>
        </w:rPr>
        <w:t xml:space="preserve">(</w:t>
      </w:r>
      <w:r>
        <w:rPr>
          <w:rStyle w:val="NormalTok"/>
        </w:rPr>
        <w:t xml:space="preserve">ean</w:t>
      </w:r>
      <w:r>
        <w:rPr>
          <w:rStyle w:val="OperatorTok"/>
        </w:rPr>
        <w:t xml:space="preserve">.</w:t>
      </w:r>
      <w:r>
        <w:rPr>
          <w:rStyle w:val="FunctionTok"/>
        </w:rPr>
        <w:t xml:space="preserve">charAt</w:t>
      </w:r>
      <w:r>
        <w:rPr>
          <w:rStyle w:val="OperatorTok"/>
        </w:rPr>
        <w:t xml:space="preserve">(</w:t>
      </w:r>
      <w:r>
        <w:rPr>
          <w:rStyle w:val="DecValTok"/>
        </w:rPr>
        <w:t xml:space="preserve">12</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'0'</w:t>
      </w:r>
      <w:r>
        <w:rPr>
          <w:rStyle w:val="OperatorTok"/>
        </w:rPr>
        <w:t xml:space="preserve">);</w:t>
      </w:r>
      <w:r>
        <w:br/>
      </w:r>
      <w:r>
        <w:rPr>
          <w:rStyle w:val="OperatorTok"/>
        </w:rPr>
        <w:t xml:space="preserve">}</w:t>
      </w:r>
    </w:p>
    <w:p>
      <w:pPr>
        <w:pStyle w:val="FirstParagraph"/>
      </w:pPr>
      <w:r>
        <w:t xml:space="preserve">Zuerst schrieb ich den Test, der rot war, dann die Implementierung, bis der Test grün war. Anschliessend habe ich um Randfälle ergänzt (leerer String, Buchstaben, zu kurze Codes).</w:t>
      </w:r>
    </w:p>
    <w:bookmarkEnd w:id="21"/>
    <w:bookmarkStart w:id="22" w:name="auflösung-des-artikels"/>
    <w:p>
      <w:pPr>
        <w:pStyle w:val="Heading3"/>
      </w:pPr>
      <w:r>
        <w:rPr>
          <w:rStyle w:val="SectionNumber"/>
        </w:rPr>
        <w:t xml:space="preserve">1.6.2</w:t>
      </w:r>
      <w:r>
        <w:tab/>
      </w:r>
      <w:r>
        <w:t xml:space="preserve">4.2 Auflösung des Artikels</w:t>
      </w:r>
    </w:p>
    <w:p>
      <w:pPr>
        <w:pStyle w:val="FirstParagraph"/>
      </w:pPr>
      <w:r>
        <w:t xml:space="preserve">Der</w:t>
      </w:r>
      <w:r>
        <w:t xml:space="preserve"> </w:t>
      </w:r>
      <w:r>
        <w:rPr>
          <w:rStyle w:val="VerbatimChar"/>
        </w:rPr>
        <w:t xml:space="preserve">ScanService</w:t>
      </w:r>
      <w:r>
        <w:t xml:space="preserve"> </w:t>
      </w:r>
      <w:r>
        <w:t xml:space="preserve">löst einen validierten Code über das Repository auf:</w:t>
      </w:r>
    </w:p>
    <w:p>
      <w:pPr>
        <w:pStyle w:val="SourceCode"/>
      </w:pPr>
      <w:r>
        <w:rPr>
          <w:rStyle w:val="KeywordTok"/>
        </w:rPr>
        <w:t xml:space="preserve">public</w:t>
      </w:r>
      <w:r>
        <w:rPr>
          <w:rStyle w:val="NormalTok"/>
        </w:rPr>
        <w:t xml:space="preserve"> ScanResult </w:t>
      </w:r>
      <w:r>
        <w:rPr>
          <w:rStyle w:val="FunctionTok"/>
        </w:rPr>
        <w:t xml:space="preserve">resolve</w:t>
      </w:r>
      <w:r>
        <w:rPr>
          <w:rStyle w:val="OperatorTok"/>
        </w:rPr>
        <w:t xml:space="preserve">(</w:t>
      </w:r>
      <w:r>
        <w:rPr>
          <w:rStyle w:val="BuiltInTok"/>
        </w:rPr>
        <w:t xml:space="preserve">String</w:t>
      </w:r>
      <w:r>
        <w:rPr>
          <w:rStyle w:val="NormalTok"/>
        </w:rPr>
        <w:t xml:space="preserve"> ean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validator</w:t>
      </w:r>
      <w:r>
        <w:rPr>
          <w:rStyle w:val="OperatorTok"/>
        </w:rPr>
        <w:t xml:space="preserve">.</w:t>
      </w:r>
      <w:r>
        <w:rPr>
          <w:rStyle w:val="FunctionTok"/>
        </w:rPr>
        <w:t xml:space="preserve">isValid</w:t>
      </w:r>
      <w:r>
        <w:rPr>
          <w:rStyle w:val="OperatorTok"/>
        </w:rPr>
        <w:t xml:space="preserve">(</w:t>
      </w:r>
      <w:r>
        <w:rPr>
          <w:rStyle w:val="NormalTok"/>
        </w:rPr>
        <w:t xml:space="preserve">ean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InvalidEanException</w:t>
      </w:r>
      <w:r>
        <w:rPr>
          <w:rStyle w:val="OperatorTok"/>
        </w:rPr>
        <w:t xml:space="preserve">(</w:t>
      </w:r>
      <w:r>
        <w:rPr>
          <w:rStyle w:val="NormalTok"/>
        </w:rPr>
        <w:t xml:space="preserve">ean</w:t>
      </w:r>
      <w:r>
        <w:rPr>
          <w:rStyle w:val="OperatorTok"/>
        </w:rPr>
        <w:t xml:space="preserve">);</w:t>
      </w:r>
      <w:r>
        <w:br/>
      </w:r>
      <w:r>
        <w:rPr>
          <w:rStyle w:val="NormalTok"/>
        </w:rPr>
        <w:t xml:space="preserve">    </w:t>
      </w:r>
      <w:r>
        <w:rPr>
          <w:rStyle w:val="OperatorTok"/>
        </w:rPr>
        <w:t xml:space="preserve">}</w:t>
      </w:r>
      <w:r>
        <w:br/>
      </w:r>
      <w:r>
        <w:rPr>
          <w:rStyle w:val="NormalTok"/>
        </w:rPr>
        <w:t xml:space="preserve">    ArtikelEan mapping </w:t>
      </w:r>
      <w:r>
        <w:rPr>
          <w:rStyle w:val="OperatorTok"/>
        </w:rPr>
        <w:t xml:space="preserve">=</w:t>
      </w:r>
      <w:r>
        <w:rPr>
          <w:rStyle w:val="NormalTok"/>
        </w:rPr>
        <w:t xml:space="preserve"> repository</w:t>
      </w:r>
      <w:r>
        <w:rPr>
          <w:rStyle w:val="OperatorTok"/>
        </w:rPr>
        <w:t xml:space="preserve">.</w:t>
      </w:r>
      <w:r>
        <w:rPr>
          <w:rStyle w:val="FunctionTok"/>
        </w:rPr>
        <w:t xml:space="preserve">findByEan</w:t>
      </w:r>
      <w:r>
        <w:rPr>
          <w:rStyle w:val="OperatorTok"/>
        </w:rPr>
        <w:t xml:space="preserve">(</w:t>
      </w:r>
      <w:r>
        <w:rPr>
          <w:rStyle w:val="NormalTok"/>
        </w:rPr>
        <w:t xml:space="preserve">ean</w:t>
      </w:r>
      <w:r>
        <w:rPr>
          <w:rStyle w:val="OperatorTok"/>
        </w:rPr>
        <w:t xml:space="preserve">)</w:t>
      </w:r>
      <w:r>
        <w:br/>
      </w:r>
      <w:r>
        <w:rPr>
          <w:rStyle w:val="NormalTok"/>
        </w:rPr>
        <w:t xml:space="preserve">        </w:t>
      </w:r>
      <w:r>
        <w:rPr>
          <w:rStyle w:val="OperatorTok"/>
        </w:rPr>
        <w:t xml:space="preserve">.</w:t>
      </w:r>
      <w:r>
        <w:rPr>
          <w:rStyle w:val="FunctionTok"/>
        </w:rPr>
        <w:t xml:space="preserve">orElseThrow</w:t>
      </w:r>
      <w:r>
        <w:rPr>
          <w:rStyle w:val="OperatorTok"/>
        </w:rPr>
        <w:t xml:space="preserve">(()</w:t>
      </w:r>
      <w:r>
        <w:rPr>
          <w:rStyle w:val="NormalTok"/>
        </w:rPr>
        <w:t xml:space="preserve"> </w:t>
      </w:r>
      <w:r>
        <w:rPr>
          <w:rStyle w:val="OperatorTok"/>
        </w:rPr>
        <w:t xml:space="preserve">-&gt;</w:t>
      </w:r>
      <w:r>
        <w:rPr>
          <w:rStyle w:val="NormalTok"/>
        </w:rPr>
        <w:t xml:space="preserve"> </w:t>
      </w:r>
      <w:r>
        <w:rPr>
          <w:rStyle w:val="KeywordTok"/>
        </w:rPr>
        <w:t xml:space="preserve">new</w:t>
      </w:r>
      <w:r>
        <w:rPr>
          <w:rStyle w:val="NormalTok"/>
        </w:rPr>
        <w:t xml:space="preserve"> </w:t>
      </w:r>
      <w:r>
        <w:rPr>
          <w:rStyle w:val="FunctionTok"/>
        </w:rPr>
        <w:t xml:space="preserve">ArticleNotFoundException</w:t>
      </w:r>
      <w:r>
        <w:rPr>
          <w:rStyle w:val="OperatorTok"/>
        </w:rPr>
        <w:t xml:space="preserve">(</w:t>
      </w:r>
      <w:r>
        <w:rPr>
          <w:rStyle w:val="NormalTok"/>
        </w:rPr>
        <w:t xml:space="preserve">ean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ScanResult</w:t>
      </w:r>
      <w:r>
        <w:rPr>
          <w:rStyle w:val="OperatorTok"/>
        </w:rPr>
        <w:t xml:space="preserve">(</w:t>
      </w:r>
      <w:r>
        <w:rPr>
          <w:rStyle w:val="NormalTok"/>
        </w:rPr>
        <w:t xml:space="preserve">mapping</w:t>
      </w:r>
      <w:r>
        <w:rPr>
          <w:rStyle w:val="OperatorTok"/>
        </w:rPr>
        <w:t xml:space="preserve">.</w:t>
      </w:r>
      <w:r>
        <w:rPr>
          <w:rStyle w:val="FunctionTok"/>
        </w:rPr>
        <w:t xml:space="preserve">getArtikelNr</w:t>
      </w:r>
      <w:r>
        <w:rPr>
          <w:rStyle w:val="OperatorTok"/>
        </w:rPr>
        <w:t xml:space="preserve">(),</w:t>
      </w:r>
      <w:r>
        <w:rPr>
          <w:rStyle w:val="NormalTok"/>
        </w:rPr>
        <w:t xml:space="preserve"> mapping</w:t>
      </w:r>
      <w:r>
        <w:rPr>
          <w:rStyle w:val="OperatorTok"/>
        </w:rPr>
        <w:t xml:space="preserve">.</w:t>
      </w:r>
      <w:r>
        <w:rPr>
          <w:rStyle w:val="FunctionTok"/>
        </w:rPr>
        <w:t xml:space="preserve">getGebinde</w:t>
      </w:r>
      <w:r>
        <w:rPr>
          <w:rStyle w:val="OperatorTok"/>
        </w:rPr>
        <w:t xml:space="preserve">());</w:t>
      </w:r>
      <w:r>
        <w:br/>
      </w:r>
      <w:r>
        <w:rPr>
          <w:rStyle w:val="OperatorTok"/>
        </w:rPr>
        <w:t xml:space="preserve">}</w:t>
      </w:r>
    </w:p>
    <w:bookmarkEnd w:id="22"/>
    <w:bookmarkStart w:id="23" w:name="frontend-behandlung"/>
    <w:p>
      <w:pPr>
        <w:pStyle w:val="Heading3"/>
      </w:pPr>
      <w:r>
        <w:rPr>
          <w:rStyle w:val="SectionNumber"/>
        </w:rPr>
        <w:t xml:space="preserve">1.6.3</w:t>
      </w:r>
      <w:r>
        <w:tab/>
      </w:r>
      <w:r>
        <w:t xml:space="preserve">4.3 Frontend-Behandlung</w:t>
      </w:r>
    </w:p>
    <w:p>
      <w:pPr>
        <w:pStyle w:val="FirstParagraph"/>
      </w:pPr>
      <w:r>
        <w:t xml:space="preserve">Im Thymeleaf-Template habe ich ein fokussiertes, verstecktes Eingabefeld eingebaut. Da der Scanner mit einem Carriage Return abschliesst, konnte ich auf das</w:t>
      </w:r>
      <w:r>
        <w:t xml:space="preserve"> </w:t>
      </w:r>
      <w:r>
        <w:rPr>
          <w:rStyle w:val="VerbatimChar"/>
        </w:rPr>
        <w:t xml:space="preserve">keydown</w:t>
      </w:r>
      <w:r>
        <w:t xml:space="preserve">-Ereignis mit</w:t>
      </w:r>
      <w:r>
        <w:t xml:space="preserve"> </w:t>
      </w:r>
      <w:r>
        <w:rPr>
          <w:rStyle w:val="VerbatimChar"/>
        </w:rPr>
        <w:t xml:space="preserve">Enter</w:t>
      </w:r>
      <w:r>
        <w:t xml:space="preserve"> </w:t>
      </w:r>
      <w:r>
        <w:t xml:space="preserve">reagieren:</w:t>
      </w:r>
    </w:p>
    <w:p>
      <w:pPr>
        <w:pStyle w:val="SourceCode"/>
      </w:pPr>
      <w:r>
        <w:rPr>
          <w:rStyle w:val="NormalTok"/>
        </w:rPr>
        <w:t xml:space="preserve">scanInput</w:t>
      </w:r>
      <w:r>
        <w:rPr>
          <w:rStyle w:val="OperatorTok"/>
        </w:rPr>
        <w:t xml:space="preserve">.</w:t>
      </w:r>
      <w:r>
        <w:rPr>
          <w:rStyle w:val="FunctionTok"/>
        </w:rPr>
        <w:t xml:space="preserve">addEventListener</w:t>
      </w:r>
      <w:r>
        <w:rPr>
          <w:rStyle w:val="NormalTok"/>
        </w:rPr>
        <w:t xml:space="preserve">(</w:t>
      </w:r>
      <w:r>
        <w:rPr>
          <w:rStyle w:val="StringTok"/>
        </w:rPr>
        <w:t xml:space="preserve">'keydown'</w:t>
      </w:r>
      <w:r>
        <w:rPr>
          <w:rStyle w:val="OperatorTok"/>
        </w:rPr>
        <w:t xml:space="preserve">,</w:t>
      </w:r>
      <w:r>
        <w:rPr>
          <w:rStyle w:val="NormalTok"/>
        </w:rPr>
        <w:t xml:space="preserve"> </w:t>
      </w:r>
      <w:r>
        <w:rPr>
          <w:rStyle w:val="KeywordTok"/>
        </w:rPr>
        <w:t xml:space="preserve">function</w:t>
      </w:r>
      <w:r>
        <w:rPr>
          <w:rStyle w:val="NormalTok"/>
        </w:rPr>
        <w:t xml:space="preserve"> (e) {</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AttributeTok"/>
        </w:rPr>
        <w:t xml:space="preserve">key</w:t>
      </w:r>
      <w:r>
        <w:rPr>
          <w:rStyle w:val="NormalTok"/>
        </w:rPr>
        <w:t xml:space="preserve"> </w:t>
      </w:r>
      <w:r>
        <w:rPr>
          <w:rStyle w:val="OperatorTok"/>
        </w:rPr>
        <w:t xml:space="preserve">===</w:t>
      </w:r>
      <w:r>
        <w:rPr>
          <w:rStyle w:val="NormalTok"/>
        </w:rPr>
        <w:t xml:space="preserve"> </w:t>
      </w:r>
      <w:r>
        <w:rPr>
          <w:rStyle w:val="StringTok"/>
        </w:rPr>
        <w:t xml:space="preserve">'Enter'</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FunctionTok"/>
        </w:rPr>
        <w:t xml:space="preserve">sendScan</w:t>
      </w:r>
      <w:r>
        <w:rPr>
          <w:rStyle w:val="NormalTok"/>
        </w:rPr>
        <w:t xml:space="preserve">(scanInput</w:t>
      </w:r>
      <w:r>
        <w:rPr>
          <w:rStyle w:val="OperatorTok"/>
        </w:rPr>
        <w:t xml:space="preserve">.</w:t>
      </w:r>
      <w:r>
        <w:rPr>
          <w:rStyle w:val="AttributeTok"/>
        </w:rPr>
        <w:t xml:space="preserve">value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scanInput</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p>
    <w:p>
      <w:pPr>
        <w:pStyle w:val="FirstParagraph"/>
      </w:pPr>
      <w:r>
        <w:t xml:space="preserve">Eine Herausforderung war, dass der Fokus nach dem Bestätigen der Menge wieder auf das Scanfeld springen muss, sonst gehen die nächsten Scans ins Leere. Das habe ich mit einem</w:t>
      </w:r>
      <w:r>
        <w:t xml:space="preserve"> </w:t>
      </w:r>
      <w:r>
        <w:rPr>
          <w:rStyle w:val="VerbatimChar"/>
        </w:rPr>
        <w:t xml:space="preserve">focus()</w:t>
      </w:r>
      <w:r>
        <w:t xml:space="preserve">-Aufruf nach dem erfolgreichen Buchen gelöst.</w:t>
      </w:r>
    </w:p>
    <w:bookmarkEnd w:id="23"/>
    <w:bookmarkStart w:id="24" w:name="fehlerbehandlung"/>
    <w:p>
      <w:pPr>
        <w:pStyle w:val="Heading3"/>
      </w:pPr>
      <w:r>
        <w:rPr>
          <w:rStyle w:val="SectionNumber"/>
        </w:rPr>
        <w:t xml:space="preserve">1.6.4</w:t>
      </w:r>
      <w:r>
        <w:tab/>
      </w:r>
      <w:r>
        <w:t xml:space="preserve">4.4 Fehlerbehandlung</w:t>
      </w:r>
    </w:p>
    <w:p>
      <w:pPr>
        <w:pStyle w:val="FirstParagraph"/>
      </w:pPr>
      <w:r>
        <w:t xml:space="preserve">Unbekannte Codes werden nicht still verworfen, sondern rot mit dem gescannten Code angezeigt (FA05). Das war ein Wunsch aus dem Wareneingang, damit ein Mitarbeiter den Code notieren und dem Stammdatendienst melden kann.</w:t>
      </w:r>
    </w:p>
    <w:p>
      <w:r>
        <w:pict>
          <v:rect style="width:0;height:1.5pt" o:hralign="center" o:hrstd="t" o:hr="t"/>
        </w:pict>
      </w:r>
    </w:p>
    <w:bookmarkEnd w:id="24"/>
    <w:bookmarkEnd w:id="25"/>
    <w:bookmarkStart w:id="28" w:name="kontrollieren"/>
    <w:p>
      <w:pPr>
        <w:pStyle w:val="Heading2"/>
      </w:pPr>
      <w:r>
        <w:rPr>
          <w:rStyle w:val="SectionNumber"/>
        </w:rPr>
        <w:t xml:space="preserve">1.7</w:t>
      </w:r>
      <w:r>
        <w:tab/>
      </w:r>
      <w:r>
        <w:t xml:space="preserve">5. Kontrollieren</w:t>
      </w:r>
    </w:p>
    <w:bookmarkStart w:id="26" w:name="testergebnisse"/>
    <w:p>
      <w:pPr>
        <w:pStyle w:val="Heading3"/>
      </w:pPr>
      <w:r>
        <w:rPr>
          <w:rStyle w:val="SectionNumber"/>
        </w:rPr>
        <w:t xml:space="preserve">1.7.1</w:t>
      </w:r>
      <w:r>
        <w:tab/>
      </w:r>
      <w:r>
        <w:t xml:space="preserve">5.1 Testergebnisse</w:t>
      </w:r>
    </w:p>
    <w:p>
      <w:pPr>
        <w:pStyle w:val="FirstParagraph"/>
      </w:pPr>
      <w:r>
        <w:t xml:space="preserve">Alle 19 Unit-Tests waren am Ende grün. Die Testabdeckung der Kernklassen</w:t>
      </w:r>
      <w:r>
        <w:t xml:space="preserve"> </w:t>
      </w:r>
      <w:r>
        <w:rPr>
          <w:rStyle w:val="VerbatimChar"/>
        </w:rPr>
        <w:t xml:space="preserve">EanValidator</w:t>
      </w:r>
      <w:r>
        <w:t xml:space="preserve"> </w:t>
      </w:r>
      <w:r>
        <w:t xml:space="preserve">und</w:t>
      </w:r>
      <w:r>
        <w:t xml:space="preserve"> </w:t>
      </w:r>
      <w:r>
        <w:rPr>
          <w:rStyle w:val="VerbatimChar"/>
        </w:rPr>
        <w:t xml:space="preserve">ScanService</w:t>
      </w:r>
      <w:r>
        <w:t xml:space="preserve"> </w:t>
      </w:r>
      <w:r>
        <w:t xml:space="preserve">liegt bei 94 % (gemessen mit JaCoCo).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Anforderung</w:t>
            </w:r>
          </w:p>
        </w:tc>
        <w:tc>
          <w:tcPr/>
          <w:p>
            <w:pPr>
              <w:pStyle w:val="Compact"/>
            </w:pPr>
            <w:r>
              <w:t xml:space="preserve">Erfüllt</w:t>
            </w:r>
          </w:p>
        </w:tc>
        <w:tc>
          <w:tcPr/>
          <w:p>
            <w:pPr>
              <w:pStyle w:val="Compact"/>
            </w:pPr>
            <w:r>
              <w:t xml:space="preserve">Nachweis</w:t>
            </w:r>
          </w:p>
        </w:tc>
      </w:tr>
      <w:tr>
        <w:tc>
          <w:tcPr/>
          <w:p>
            <w:pPr>
              <w:pStyle w:val="Compact"/>
            </w:pPr>
            <w:r>
              <w:t xml:space="preserve">FA01</w:t>
            </w:r>
          </w:p>
        </w:tc>
        <w:tc>
          <w:tcPr/>
          <w:p>
            <w:pPr>
              <w:pStyle w:val="Compact"/>
            </w:pPr>
            <w:r>
              <w:t xml:space="preserve">ja</w:t>
            </w:r>
          </w:p>
        </w:tc>
        <w:tc>
          <w:tcPr/>
          <w:p>
            <w:pPr>
              <w:pStyle w:val="Compact"/>
            </w:pPr>
            <w:r>
              <w:t xml:space="preserve">Systemtest, Scan im Testsystem</w:t>
            </w:r>
          </w:p>
        </w:tc>
      </w:tr>
      <w:tr>
        <w:tc>
          <w:tcPr/>
          <w:p>
            <w:pPr>
              <w:pStyle w:val="Compact"/>
            </w:pPr>
            <w:r>
              <w:t xml:space="preserve">FA02</w:t>
            </w:r>
          </w:p>
        </w:tc>
        <w:tc>
          <w:tcPr/>
          <w:p>
            <w:pPr>
              <w:pStyle w:val="Compact"/>
            </w:pPr>
            <w:r>
              <w:t xml:space="preserve">ja</w:t>
            </w:r>
          </w:p>
        </w:tc>
        <w:tc>
          <w:tcPr/>
          <w:p>
            <w:pPr>
              <w:pStyle w:val="Compact"/>
            </w:pPr>
            <w:r>
              <w:t xml:space="preserve">Unit-Test</w:t>
            </w:r>
            <w:r>
              <w:t xml:space="preserve"> </w:t>
            </w:r>
            <w:r>
              <w:rPr>
                <w:rStyle w:val="VerbatimChar"/>
              </w:rPr>
              <w:t xml:space="preserve">isValid</w:t>
            </w:r>
          </w:p>
        </w:tc>
      </w:tr>
      <w:tr>
        <w:tc>
          <w:tcPr/>
          <w:p>
            <w:pPr>
              <w:pStyle w:val="Compact"/>
            </w:pPr>
            <w:r>
              <w:t xml:space="preserve">FA03</w:t>
            </w:r>
          </w:p>
        </w:tc>
        <w:tc>
          <w:tcPr/>
          <w:p>
            <w:pPr>
              <w:pStyle w:val="Compact"/>
            </w:pPr>
            <w:r>
              <w:t xml:space="preserve">ja</w:t>
            </w:r>
          </w:p>
        </w:tc>
        <w:tc>
          <w:tcPr/>
          <w:p>
            <w:pPr>
              <w:pStyle w:val="Compact"/>
            </w:pPr>
            <w:r>
              <w:t xml:space="preserve">Unit-Test</w:t>
            </w:r>
            <w:r>
              <w:t xml:space="preserve"> </w:t>
            </w:r>
            <w:r>
              <w:rPr>
                <w:rStyle w:val="VerbatimChar"/>
              </w:rPr>
              <w:t xml:space="preserve">resolve</w:t>
            </w:r>
          </w:p>
        </w:tc>
      </w:tr>
      <w:tr>
        <w:tc>
          <w:tcPr/>
          <w:p>
            <w:pPr>
              <w:pStyle w:val="Compact"/>
            </w:pPr>
            <w:r>
              <w:t xml:space="preserve">FA04</w:t>
            </w:r>
          </w:p>
        </w:tc>
        <w:tc>
          <w:tcPr/>
          <w:p>
            <w:pPr>
              <w:pStyle w:val="Compact"/>
            </w:pPr>
            <w:r>
              <w:t xml:space="preserve">ja</w:t>
            </w:r>
          </w:p>
        </w:tc>
        <w:tc>
          <w:tcPr/>
          <w:p>
            <w:pPr>
              <w:pStyle w:val="Compact"/>
            </w:pPr>
            <w:r>
              <w:t xml:space="preserve">Systemtest</w:t>
            </w:r>
          </w:p>
        </w:tc>
      </w:tr>
      <w:tr>
        <w:tc>
          <w:tcPr/>
          <w:p>
            <w:pPr>
              <w:pStyle w:val="Compact"/>
            </w:pPr>
            <w:r>
              <w:t xml:space="preserve">FA05</w:t>
            </w:r>
          </w:p>
        </w:tc>
        <w:tc>
          <w:tcPr/>
          <w:p>
            <w:pPr>
              <w:pStyle w:val="Compact"/>
            </w:pPr>
            <w:r>
              <w:t xml:space="preserve">ja</w:t>
            </w:r>
          </w:p>
        </w:tc>
        <w:tc>
          <w:tcPr/>
          <w:p>
            <w:pPr>
              <w:pStyle w:val="Compact"/>
            </w:pPr>
            <w:r>
              <w:t xml:space="preserve">Systemtest mit unbekanntem Code</w:t>
            </w:r>
          </w:p>
        </w:tc>
      </w:tr>
      <w:tr>
        <w:tc>
          <w:tcPr/>
          <w:p>
            <w:pPr>
              <w:pStyle w:val="Compact"/>
            </w:pPr>
            <w:r>
              <w:t xml:space="preserve">FA06</w:t>
            </w:r>
          </w:p>
        </w:tc>
        <w:tc>
          <w:tcPr/>
          <w:p>
            <w:pPr>
              <w:pStyle w:val="Compact"/>
            </w:pPr>
            <w:r>
              <w:t xml:space="preserve">ja</w:t>
            </w:r>
          </w:p>
        </w:tc>
        <w:tc>
          <w:tcPr/>
          <w:p>
            <w:pPr>
              <w:pStyle w:val="Compact"/>
            </w:pPr>
            <w:r>
              <w:t xml:space="preserve">Systemtest, doppelter Scan</w:t>
            </w:r>
          </w:p>
        </w:tc>
      </w:tr>
      <w:tr>
        <w:tc>
          <w:tcPr/>
          <w:p>
            <w:pPr>
              <w:pStyle w:val="Compact"/>
            </w:pPr>
            <w:r>
              <w:t xml:space="preserve">NFA01</w:t>
            </w:r>
          </w:p>
        </w:tc>
        <w:tc>
          <w:tcPr/>
          <w:p>
            <w:pPr>
              <w:pStyle w:val="Compact"/>
            </w:pPr>
            <w:r>
              <w:t xml:space="preserve">ja</w:t>
            </w:r>
          </w:p>
        </w:tc>
        <w:tc>
          <w:tcPr/>
          <w:p>
            <w:pPr>
              <w:pStyle w:val="Compact"/>
            </w:pPr>
            <w:r>
              <w:t xml:space="preserve">gemessen 40–70 ms</w:t>
            </w:r>
          </w:p>
        </w:tc>
      </w:tr>
      <w:tr>
        <w:tc>
          <w:tcPr/>
          <w:p>
            <w:pPr>
              <w:pStyle w:val="Compact"/>
            </w:pPr>
            <w:r>
              <w:t xml:space="preserve">NFA02</w:t>
            </w:r>
          </w:p>
        </w:tc>
        <w:tc>
          <w:tcPr/>
          <w:p>
            <w:pPr>
              <w:pStyle w:val="Compact"/>
            </w:pPr>
            <w:r>
              <w:t xml:space="preserve">ja</w:t>
            </w:r>
          </w:p>
        </w:tc>
        <w:tc>
          <w:tcPr/>
          <w:p>
            <w:pPr>
              <w:pStyle w:val="Compact"/>
            </w:pPr>
            <w:r>
              <w:t xml:space="preserve">keine Zusatzsoftware</w:t>
            </w:r>
          </w:p>
        </w:tc>
      </w:tr>
      <w:tr>
        <w:tc>
          <w:tcPr/>
          <w:p>
            <w:pPr>
              <w:pStyle w:val="Compact"/>
            </w:pPr>
            <w:r>
              <w:t xml:space="preserve">NFA03</w:t>
            </w:r>
          </w:p>
        </w:tc>
        <w:tc>
          <w:tcPr/>
          <w:p>
            <w:pPr>
              <w:pStyle w:val="Compact"/>
            </w:pPr>
            <w:r>
              <w:t xml:space="preserve">ja</w:t>
            </w:r>
          </w:p>
        </w:tc>
        <w:tc>
          <w:tcPr/>
          <w:p>
            <w:pPr>
              <w:pStyle w:val="Compact"/>
            </w:pPr>
            <w:r>
              <w:t xml:space="preserve">Code-Review Berufsbildner</w:t>
            </w:r>
          </w:p>
        </w:tc>
      </w:tr>
    </w:tbl>
    <w:bookmarkEnd w:id="26"/>
    <w:bookmarkStart w:id="27" w:name="abnahme"/>
    <w:p>
      <w:pPr>
        <w:pStyle w:val="Heading3"/>
      </w:pPr>
      <w:r>
        <w:rPr>
          <w:rStyle w:val="SectionNumber"/>
        </w:rPr>
        <w:t xml:space="preserve">1.7.2</w:t>
      </w:r>
      <w:r>
        <w:tab/>
      </w:r>
      <w:r>
        <w:t xml:space="preserve">5.2 Abnahme</w:t>
      </w:r>
    </w:p>
    <w:p>
      <w:pPr>
        <w:pStyle w:val="FirstParagraph"/>
      </w:pPr>
      <w:r>
        <w:t xml:space="preserve">Am 2. Mai habe ich die Lösung mit zwei Mitarbeitenden aus dem Wareneingang getestet. Sie haben eine Testlieferung mit 30 Positionen gescannt. Es gab keine Fehlbuchung. Eine Rückmeldung war, dass ein kurzer Bestätigungston beim erfolgreichen Scan hilfreich wäre – das habe ich als Verbesserung notiert.</w:t>
      </w:r>
    </w:p>
    <w:p>
      <w:r>
        <w:pict>
          <v:rect style="width:0;height:1.5pt" o:hralign="center" o:hrstd="t" o:hr="t"/>
        </w:pict>
      </w:r>
    </w:p>
    <w:bookmarkEnd w:id="27"/>
    <w:bookmarkEnd w:id="28"/>
    <w:bookmarkStart w:id="32" w:name="auswerten"/>
    <w:p>
      <w:pPr>
        <w:pStyle w:val="Heading2"/>
      </w:pPr>
      <w:r>
        <w:rPr>
          <w:rStyle w:val="SectionNumber"/>
        </w:rPr>
        <w:t xml:space="preserve">1.8</w:t>
      </w:r>
      <w:r>
        <w:tab/>
      </w:r>
      <w:r>
        <w:t xml:space="preserve">6. Auswerten</w:t>
      </w:r>
    </w:p>
    <w:bookmarkStart w:id="29" w:name="zielerreichung"/>
    <w:p>
      <w:pPr>
        <w:pStyle w:val="Heading3"/>
      </w:pPr>
      <w:r>
        <w:rPr>
          <w:rStyle w:val="SectionNumber"/>
        </w:rPr>
        <w:t xml:space="preserve">1.8.1</w:t>
      </w:r>
      <w:r>
        <w:tab/>
      </w:r>
      <w:r>
        <w:t xml:space="preserve">6.1 Zielerreichung</w:t>
      </w:r>
    </w:p>
    <w:p>
      <w:pPr>
        <w:pStyle w:val="FirstParagraph"/>
      </w:pPr>
      <w:r>
        <w:t xml:space="preserve">Alle funktionalen und nicht-funktionalen Anforderungen wurden erfüllt. Der Wareneingang kann neu per Scan gebucht werden. Der geschätzte Zeitgewinn liegt bei rund 8 Sekunden pro Position.</w:t>
      </w:r>
    </w:p>
    <w:bookmarkEnd w:id="29"/>
    <w:bookmarkStart w:id="30" w:name="reflexion"/>
    <w:p>
      <w:pPr>
        <w:pStyle w:val="Heading3"/>
      </w:pPr>
      <w:r>
        <w:rPr>
          <w:rStyle w:val="SectionNumber"/>
        </w:rPr>
        <w:t xml:space="preserve">1.8.2</w:t>
      </w:r>
      <w:r>
        <w:tab/>
      </w:r>
      <w:r>
        <w:t xml:space="preserve">6.2 Reflexion</w:t>
      </w:r>
    </w:p>
    <w:p>
      <w:pPr>
        <w:pStyle w:val="FirstParagraph"/>
      </w:pPr>
      <w:r>
        <w:t xml:space="preserve">Rückblickend habe ich in der Planung den Aufwand für die Fokus-Behandlung im Frontend unterschätzt. Der reine Backend-Teil war dank TDD gut beherrschbar. Wenn ich die Arbeit nochmals machen würde, würde ich früher mit einem echten Scanner am Testsystem prüfen, statt lange mit simulierten Eingaben zu arbeiten.</w:t>
      </w:r>
    </w:p>
    <w:p>
      <w:pPr>
        <w:pStyle w:val="BodyText"/>
      </w:pPr>
      <w:r>
        <w:t xml:space="preserve">Gut gelaufen ist die klare Trennung von Validierung und Auflösung. Dadurch waren die Tests einfach und die Fehlersuche schnell.</w:t>
      </w:r>
    </w:p>
    <w:bookmarkEnd w:id="30"/>
    <w:bookmarkStart w:id="31" w:name="ausblick"/>
    <w:p>
      <w:pPr>
        <w:pStyle w:val="Heading3"/>
      </w:pPr>
      <w:r>
        <w:rPr>
          <w:rStyle w:val="SectionNumber"/>
        </w:rPr>
        <w:t xml:space="preserve">1.8.3</w:t>
      </w:r>
      <w:r>
        <w:tab/>
      </w:r>
      <w:r>
        <w:t xml:space="preserve">6.3 Ausblick</w:t>
      </w:r>
    </w:p>
    <w:p>
      <w:pPr>
        <w:pStyle w:val="FirstParagraph"/>
      </w:pPr>
      <w:r>
        <w:t xml:space="preserve">Als Nächstes könnte der Bestätigungston umgesetzt und die Lösung auf den Warenausgang (Kommissionierung) ausgeweitet werden.</w:t>
      </w:r>
    </w:p>
    <w:p>
      <w:r>
        <w:pict>
          <v:rect style="width:0;height:1.5pt" o:hralign="center" o:hrstd="t" o:hr="t"/>
        </w:pict>
      </w:r>
    </w:p>
    <w:bookmarkEnd w:id="31"/>
    <w:bookmarkEnd w:id="32"/>
    <w:bookmarkStart w:id="36" w:name="arbeitsjournal-auszug"/>
    <w:p>
      <w:pPr>
        <w:pStyle w:val="Heading2"/>
      </w:pPr>
      <w:r>
        <w:rPr>
          <w:rStyle w:val="SectionNumber"/>
        </w:rPr>
        <w:t xml:space="preserve">1.9</w:t>
      </w:r>
      <w:r>
        <w:tab/>
      </w:r>
      <w:r>
        <w:t xml:space="preserve">Arbeitsjournal (Auszug)</w:t>
      </w:r>
    </w:p>
    <w:bookmarkStart w:id="33" w:name="tag-1-21.04.2025"/>
    <w:p>
      <w:pPr>
        <w:pStyle w:val="Heading3"/>
      </w:pPr>
      <w:r>
        <w:rPr>
          <w:rStyle w:val="SectionNumber"/>
        </w:rPr>
        <w:t xml:space="preserve">1.9.1</w:t>
      </w:r>
      <w:r>
        <w:tab/>
      </w:r>
      <w:r>
        <w:t xml:space="preserve">Tag 1 – 21.04.2025</w:t>
      </w:r>
    </w:p>
    <w:p>
      <w:pPr>
        <w:pStyle w:val="FirstParagraph"/>
      </w:pPr>
      <w:r>
        <w:t xml:space="preserve">Am Vormittag habe ich mit Andreas die Aufgabenstellung durchgesprochen und mir im Wareneingang den heutigen Ablauf zeigen lassen. Nachmittags habe ich das Verhalten des Honeywell-Scanners in einem Testformular untersucht: Er sendet den Code als Tastatureingabe mit abschliessendem Enter. Aufgetreten ist das Problem, dass mein Testbrowser den Enter als Formularabsenden interpretiert hat. Gelöst mit</w:t>
      </w:r>
      <w:r>
        <w:t xml:space="preserve"> </w:t>
      </w:r>
      <w:r>
        <w:rPr>
          <w:rStyle w:val="VerbatimChar"/>
        </w:rPr>
        <w:t xml:space="preserve">preventDefault()</w:t>
      </w:r>
      <w:r>
        <w:t xml:space="preserve">.</w:t>
      </w:r>
    </w:p>
    <w:bookmarkEnd w:id="33"/>
    <w:bookmarkStart w:id="34" w:name="tag-4-24.04.2025"/>
    <w:p>
      <w:pPr>
        <w:pStyle w:val="Heading3"/>
      </w:pPr>
      <w:r>
        <w:rPr>
          <w:rStyle w:val="SectionNumber"/>
        </w:rPr>
        <w:t xml:space="preserve">1.9.2</w:t>
      </w:r>
      <w:r>
        <w:tab/>
      </w:r>
      <w:r>
        <w:t xml:space="preserve">Tag 4 – 24.04.2025</w:t>
      </w:r>
    </w:p>
    <w:p>
      <w:pPr>
        <w:pStyle w:val="FirstParagraph"/>
      </w:pPr>
      <w:r>
        <w:t xml:space="preserve">Heute die</w:t>
      </w:r>
      <w:r>
        <w:t xml:space="preserve"> </w:t>
      </w:r>
      <w:r>
        <w:rPr>
          <w:rStyle w:val="VerbatimChar"/>
        </w:rPr>
        <w:t xml:space="preserve">EanValidator</w:t>
      </w:r>
      <w:r>
        <w:t xml:space="preserve">-Klasse testgetrieben fertiggestellt. Erst die Tests für gültige und ungültige Prüfziffern geschrieben, dann die Implementierung. Ein Zahlendreher in meiner Gewichtung (Faktor 1 und 3 vertauscht) hat mich rund eine Stunde gekostet, bis ich per Test gemerkt habe, dass ein bekannter gültiger Code abgelehnt wurde. Danach</w:t>
      </w:r>
      <w:r>
        <w:t xml:space="preserve"> </w:t>
      </w:r>
      <w:r>
        <w:rPr>
          <w:rStyle w:val="VerbatimChar"/>
        </w:rPr>
        <w:t xml:space="preserve">ScanService</w:t>
      </w:r>
      <w:r>
        <w:t xml:space="preserve"> </w:t>
      </w:r>
      <w:r>
        <w:t xml:space="preserve">begonnen.</w:t>
      </w:r>
    </w:p>
    <w:bookmarkEnd w:id="34"/>
    <w:bookmarkStart w:id="35" w:name="tag-8-30.04.2025"/>
    <w:p>
      <w:pPr>
        <w:pStyle w:val="Heading3"/>
      </w:pPr>
      <w:r>
        <w:rPr>
          <w:rStyle w:val="SectionNumber"/>
        </w:rPr>
        <w:t xml:space="preserve">1.9.3</w:t>
      </w:r>
      <w:r>
        <w:tab/>
      </w:r>
      <w:r>
        <w:t xml:space="preserve">Tag 8 – 30.04.2025</w:t>
      </w:r>
    </w:p>
    <w:p>
      <w:pPr>
        <w:pStyle w:val="FirstParagraph"/>
      </w:pPr>
      <w:r>
        <w:t xml:space="preserve">Frontend-Integration in die WE-Erfassungsmaske. Das Zurücksetzen des Fokus auf das Scanfeld nach dem Buchen hat länger gedauert als geplant, weil der Fokus nach einem Server-Roundtrip verloren ging. Mit einem gezielten</w:t>
      </w:r>
      <w:r>
        <w:t xml:space="preserve"> </w:t>
      </w:r>
      <w:r>
        <w:rPr>
          <w:rStyle w:val="VerbatimChar"/>
        </w:rPr>
        <w:t xml:space="preserve">focus()</w:t>
      </w:r>
      <w:r>
        <w:t xml:space="preserve"> </w:t>
      </w:r>
      <w:r>
        <w:t xml:space="preserve">nach der Antwort gelöst. Am Ende des Tages lief ein kompletter Scan-Durchlauf im Testsystem.</w:t>
      </w:r>
    </w:p>
    <w:p>
      <w:r>
        <w:pict>
          <v:rect style="width:0;height:1.5pt" o:hralign="center" o:hrstd="t" o:hr="t"/>
        </w:pict>
      </w:r>
    </w:p>
    <w:bookmarkEnd w:id="35"/>
    <w:bookmarkEnd w:id="36"/>
    <w:bookmarkStart w:id="37" w:name="quellenverzeichnis"/>
    <w:p>
      <w:pPr>
        <w:pStyle w:val="Heading2"/>
      </w:pPr>
      <w:r>
        <w:rPr>
          <w:rStyle w:val="SectionNumber"/>
        </w:rPr>
        <w:t xml:space="preserve">1.10</w:t>
      </w:r>
      <w:r>
        <w:tab/>
      </w:r>
      <w:r>
        <w:t xml:space="preserve">Quellenverzeichnis</w:t>
      </w:r>
    </w:p>
    <w:p>
      <w:pPr>
        <w:pStyle w:val="Compact"/>
        <w:numPr>
          <w:ilvl w:val="0"/>
          <w:numId w:val="1005"/>
        </w:numPr>
      </w:pPr>
      <w:r>
        <w:t xml:space="preserve">GS1 Switzerland: Aufbau und Prüfziffer EAN-13. https://www.gs1.ch (abgerufen 22.04.2025)</w:t>
      </w:r>
    </w:p>
    <w:p>
      <w:pPr>
        <w:pStyle w:val="Compact"/>
        <w:numPr>
          <w:ilvl w:val="0"/>
          <w:numId w:val="1005"/>
        </w:numPr>
      </w:pPr>
      <w:r>
        <w:t xml:space="preserve">Spring Boot Reference Documentation, Version 3.1. https://docs.spring.io (abgerufen 23.04.2025)</w:t>
      </w:r>
    </w:p>
    <w:p>
      <w:pPr>
        <w:pStyle w:val="Compact"/>
        <w:numPr>
          <w:ilvl w:val="0"/>
          <w:numId w:val="1005"/>
        </w:numPr>
      </w:pPr>
      <w:r>
        <w:t xml:space="preserve">Honeywell Voyager 1450g User Guide, Keyboard-Wedge-Konfiguration (internes PDF)</w:t>
      </w:r>
    </w:p>
    <w:p>
      <w:pPr>
        <w:pStyle w:val="Compact"/>
        <w:numPr>
          <w:ilvl w:val="0"/>
          <w:numId w:val="1005"/>
        </w:numPr>
      </w:pPr>
      <w:r>
        <w:t xml:space="preserve">Baeldung: Testing with JUnit 5 and Mockito. https://www.baeldung.com (abgerufen 25.04.2025)</w:t>
      </w:r>
    </w:p>
    <w:p>
      <w:pPr>
        <w:pStyle w:val="Compact"/>
        <w:numPr>
          <w:ilvl w:val="0"/>
          <w:numId w:val="1005"/>
        </w:numPr>
      </w:pPr>
      <w:r>
        <w:t xml:space="preserve">Interne Systemdokumentation NoLoWMS, Stand 2024 (Confluence)</w:t>
      </w:r>
    </w:p>
    <w:bookmarkEnd w:id="37"/>
    <w:bookmarkEnd w:id="38"/>
    <w:sectPr>
      <w:headerReference w:type="default" r:id="rIdHdr"/>
      <w:footerReference w:type="default" r:id="rIdFt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Bdr>
        <w:top w:val="single" w:sz="6" w:space="1" w:color="1F4E79"/>
      </w:pBdr>
      <w:tabs>
        <w:tab w:val="right" w:pos="9000"/>
      </w:tabs>
      <w:rPr>
        <w:color w:val="7F7F7F"/>
        <w:sz w:val="16"/>
      </w:rPr>
    </w:pPr>
    <w:r>
      <w:rPr>
        <w:color w:val="7F7F7F"/>
        <w:sz w:val="16"/>
      </w:rPr>
      <w:t xml:space="preserve">Nordlicht Logistik AG · IPA 2026 · Timo Frei</w:t>
    </w:r>
    <w:r>
      <w:rPr>
        <w:color w:val="7F7F7F"/>
        <w:sz w:val="16"/>
      </w:rPr>
      <w:tab/>
      <w:t xml:space="preserve">Seite </w:t>
    </w:r>
    <w:r>
      <w:rPr>
        <w:color w:val="7F7F7F"/>
        <w:sz w:val="16"/>
      </w:rPr>
      <w:fldChar w:fldCharType="begin"/>
    </w:r>
    <w:r>
      <w:instrText xml:space="preserve"> PAGE </w:instrText>
    </w:r>
    <w:r>
      <w:fldChar w:fldCharType="separate"/>
    </w:r>
    <w:r>
      <w:rPr>
        <w:color w:val="7F7F7F"/>
        <w:sz w:val="16"/>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jc w:val="right"/>
    </w:pPr>
    <w:r>
      <w:drawing>
        <wp:inline distT="0" distB="0" distL="0" distR="0">
          <wp:extent cx="3240000" cy="720000"/>
          <wp:docPr id="901" name="logo"/>
          <a:graphic>
            <a:graphicData uri="http://schemas.openxmlformats.org/drawingml/2006/picture">
              <pic:pic>
                <pic:nvPicPr>
                  <pic:cNvPr id="0" name="logo.png"/>
                  <pic:cNvPicPr/>
                </pic:nvPicPr>
                <pic:blipFill>
                  <a:blip r:embed="rIdLogo"/>
                  <a:stretch>
                    <a:fillRect/>
                  </a:stretch>
                </pic:blipFill>
                <pic:spPr>
                  <a:xfrm>
                    <a:off x="0" y="0"/>
                    <a:ext cx="3240000" cy="720000"/>
                  </a:xfrm>
                  <a:prstGeom prst="rect">
                    <a:avLst/>
                  </a:prstGeom>
                </pic:spPr>
              </pic:pic>
            </a:graphicData>
          </a:graphic>
        </wp:inline>
      </w:drawing>
    </w:r>
  </w:p>
  <w:p>
    <w:pPr>
      <w:pBdr>
        <w:bottom w:val="single" w:sz="6" w:space="1" w:color="1F4E79"/>
      </w:pBdr>
      <w:rPr>
        <w:color w:val="7F7F7F"/>
        <w:sz w:val="16"/>
      </w:rPr>
    </w:pPr>
    <w:r>
      <w:rPr>
        <w:color w:val="7F7F7F"/>
        <w:sz w:val="16"/>
      </w:rPr>
      <w:t xml:space="preserve">IPA 2026 · Barcode-Scanner-Anbindung · Timo Frei</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hAnsi="Calibri" w:cs="Calibri" w:eastAsia="Calibr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hAnsi="Calibri" w:cs="Calibri" w:eastAsia="Calibri"/>
      <w:sz w:val="56"/>
      <w:szCs w:val="56"/>
    </w:rPr>
  </w:style>
  <w:style w:customStyle="1" w:styleId="TitleChar" w:type="character">
    <w:name w:val="Title Char"/>
    <w:basedOn w:val="DefaultParagraphFont"/>
    <w:link w:val="Title"/>
    <w:uiPriority w:val="10"/>
    <w:rsid w:val="00A10FD9"/>
    <w:rPr>
      <w:rFonts w:ascii="Calibri" w:hAnsi="Calibri" w:cs="Calibri" w:eastAsia="Calibri"/>
      <w:sz w:val="56"/>
      <w:szCs w:val="56"/>
    </w:rPr>
  </w:style>
  <w:style w:styleId="Subtitle" w:type="paragraph">
    <w:name w:val="Subtitle"/>
    <w:basedOn w:val="Title"/>
    <w:next w:val="BodyText"/>
    <w:link w:val="SubtitleChar"/>
    <w:uiPriority w:val="11"/>
    <w:qFormat/>
    <w:rsid w:val="00A10FD9"/>
    <w:pPr>
      <w:numPr>
        <w:ilvl w:val="1"/>
      </w:numPr>
    </w:pPr>
    <w:rPr>
      <w:rFonts w:ascii="Calibri" w:hAnsi="Calibri" w:cs="Calibri" w:eastAsia="Calibri"/>
      <w:spacing w:val="15"/>
      <w:sz w:val="28"/>
      <w:szCs w:val="28"/>
    </w:rPr>
  </w:style>
  <w:style w:customStyle="1" w:styleId="SubtitleChar" w:type="character">
    <w:name w:val="Subtitle Char"/>
    <w:basedOn w:val="DefaultParagraphFont"/>
    <w:link w:val="Subtitle"/>
    <w:uiPriority w:val="11"/>
    <w:rsid w:val="00A10FD9"/>
    <w:rPr>
      <w:rFonts w:ascii="Calibri" w:hAnsi="Calibri" w:cs="Calibri" w:eastAsia="Calibri"/>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Calibri" w:hAnsi="Calibri" w:cs="Calibri" w:eastAsia="Calibr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Calibri" w:hAnsi="Calibri" w:cs="Calibri" w:eastAsia="Calibr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hAnsi="Calibri" w:cs="Calibri" w:eastAsia="Calibri"/>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Calibri" w:hAnsi="Calibri" w:cs="Calibri" w:eastAsia="Calibri"/>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Calibri" w:hAnsi="Calibri" w:cs="Calibri" w:eastAsia="Calibri"/>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Calibri" w:hAnsi="Calibri" w:cs="Calibri" w:eastAsia="Calibri"/>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Calibri" w:hAnsi="Calibri" w:cs="Calibri" w:eastAsia="Calibri"/>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Calibri" w:hAnsi="Calibri" w:cs="Calibri" w:eastAsia="Calibri"/>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Calibri" w:hAnsi="Calibri" w:cs="Calibri" w:eastAsia="Calibri"/>
      <w:color w:themeColor="text1" w:themeTint="D8" w:val="272727"/>
    </w:rPr>
  </w:style>
  <w:style w:customStyle="1" w:styleId="Heading1Char" w:type="character">
    <w:name w:val="Heading 1 Char"/>
    <w:basedOn w:val="DefaultParagraphFont"/>
    <w:link w:val="Heading1"/>
    <w:uiPriority w:val="9"/>
    <w:rsid w:val="00A10FD9"/>
    <w:rPr>
      <w:rFonts w:ascii="Calibri" w:hAnsi="Calibri" w:cs="Calibri" w:eastAsia="Calibr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Calibri" w:hAnsi="Calibri" w:cs="Calibri" w:eastAsia="Calibr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Calibri" w:hAnsi="Calibri" w:cs="Calibri" w:eastAsia="Calibri"/>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Calibri" w:hAnsi="Calibri" w:cs="Calibri" w:eastAsia="Calibri"/>
      <w:i/>
      <w:iCs/>
      <w:color w:themeColor="accent1" w:themeShade="BF" w:val="0F4761"/>
    </w:rPr>
  </w:style>
  <w:style w:customStyle="1" w:styleId="Heading5Char" w:type="character">
    <w:name w:val="Heading 5 Char"/>
    <w:basedOn w:val="DefaultParagraphFont"/>
    <w:link w:val="Heading5"/>
    <w:uiPriority w:val="9"/>
    <w:semiHidden/>
    <w:rsid w:val="00A10FD9"/>
    <w:rPr>
      <w:rFonts w:ascii="Calibri" w:hAnsi="Calibri" w:cs="Calibri" w:eastAsia="Calibri"/>
      <w:color w:themeColor="accent1" w:themeShade="BF" w:val="0F4761"/>
    </w:rPr>
  </w:style>
  <w:style w:customStyle="1" w:styleId="Heading6Char" w:type="character">
    <w:name w:val="Heading 6 Char"/>
    <w:basedOn w:val="DefaultParagraphFont"/>
    <w:link w:val="Heading6"/>
    <w:uiPriority w:val="9"/>
    <w:semiHidden/>
    <w:rsid w:val="00A10FD9"/>
    <w:rPr>
      <w:rFonts w:ascii="Calibri" w:hAnsi="Calibri" w:cs="Calibri" w:eastAsia="Calibri"/>
      <w:i/>
      <w:iCs/>
      <w:color w:themeColor="text1" w:themeTint="A6" w:val="595959"/>
    </w:rPr>
  </w:style>
  <w:style w:customStyle="1" w:styleId="Heading7Char" w:type="character">
    <w:name w:val="Heading 7 Char"/>
    <w:basedOn w:val="DefaultParagraphFont"/>
    <w:link w:val="Heading7"/>
    <w:uiPriority w:val="9"/>
    <w:semiHidden/>
    <w:rsid w:val="00A10FD9"/>
    <w:rPr>
      <w:rFonts w:ascii="Calibri" w:hAnsi="Calibri" w:cs="Calibri" w:eastAsia="Calibri"/>
      <w:color w:themeColor="text1" w:themeTint="A6" w:val="595959"/>
    </w:rPr>
  </w:style>
  <w:style w:customStyle="1" w:styleId="Heading8Char" w:type="character">
    <w:name w:val="Heading 8 Char"/>
    <w:basedOn w:val="DefaultParagraphFont"/>
    <w:link w:val="Heading8"/>
    <w:uiPriority w:val="9"/>
    <w:semiHidden/>
    <w:rsid w:val="00A10FD9"/>
    <w:rPr>
      <w:rFonts w:ascii="Calibri" w:hAnsi="Calibri" w:cs="Calibri" w:eastAsia="Calibri"/>
      <w:i/>
      <w:iCs/>
      <w:color w:themeColor="text1" w:themeTint="D8" w:val="272727"/>
    </w:rPr>
  </w:style>
  <w:style w:customStyle="1" w:styleId="Heading9Char" w:type="character">
    <w:name w:val="Heading 9 Char"/>
    <w:basedOn w:val="DefaultParagraphFont"/>
    <w:link w:val="Heading9"/>
    <w:uiPriority w:val="9"/>
    <w:semiHidden/>
    <w:rsid w:val="00A10FD9"/>
    <w:rPr>
      <w:rFonts w:ascii="Calibri" w:hAnsi="Calibri" w:cs="Calibri" w:eastAsia="Calibri"/>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alibri" w:hAnsi="Calibri" w:cs="Calibri" w:eastAsia="Calibri"/>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hAnsi="Calibri" w:cs="Calibri" w:eastAsia="Calibr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Hdr" Type="http://schemas.openxmlformats.org/officeDocument/2006/relationships/header" Target="header1.xml"/><Relationship Id="rIdFtr" Type="http://schemas.openxmlformats.org/officeDocument/2006/relationships/footer" Target="footer1.xml"/></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Logo" Type="http://schemas.openxmlformats.org/officeDocument/2006/relationships/image" Target="media/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2026-09-22T13:20:58Z</dcterms:created>
  <dcterms:modified xsi:type="dcterms:W3CDTF">2026-09-22T13:20:58Z</dcterms:modified>
</cp:coreProperties>
</file>

<file path=docProps/custom.xml><?xml version="1.0" encoding="utf-8"?>
<Properties xmlns="http://schemas.openxmlformats.org/officeDocument/2006/custom-properties" xmlns:vt="http://schemas.openxmlformats.org/officeDocument/2006/docPropsVTypes"/>
</file>