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42BC" w14:textId="77777777" w:rsidR="003D7664" w:rsidRDefault="003D7664" w:rsidP="00386CAF">
      <w:pPr>
        <w:jc w:val="center"/>
        <w:rPr>
          <w:b/>
          <w:bCs/>
        </w:rPr>
      </w:pPr>
    </w:p>
    <w:p w14:paraId="51C49212" w14:textId="6FDC0366" w:rsidR="007F75A7" w:rsidRPr="00732E4D" w:rsidRDefault="007F75A7" w:rsidP="00386CAF">
      <w:pPr>
        <w:jc w:val="center"/>
        <w:rPr>
          <w:b/>
          <w:bCs/>
        </w:rPr>
      </w:pPr>
      <w:r w:rsidRPr="00732E4D">
        <w:rPr>
          <w:b/>
          <w:bCs/>
        </w:rPr>
        <w:t>Universidad Tecnológica de Panamá</w:t>
      </w:r>
    </w:p>
    <w:p w14:paraId="5C2EA85E" w14:textId="5FF4A48E" w:rsidR="007F75A7" w:rsidRPr="00732E4D" w:rsidRDefault="007F75A7" w:rsidP="00386CAF">
      <w:pPr>
        <w:jc w:val="center"/>
        <w:rPr>
          <w:b/>
          <w:bCs/>
        </w:rPr>
      </w:pPr>
      <w:r w:rsidRPr="00732E4D">
        <w:rPr>
          <w:b/>
          <w:bCs/>
        </w:rPr>
        <w:t>Facultad de Sistemas Computacionales</w:t>
      </w:r>
    </w:p>
    <w:p w14:paraId="594F7439" w14:textId="532C3EFE" w:rsidR="007F75A7" w:rsidRPr="00732E4D" w:rsidRDefault="007F75A7" w:rsidP="00386CAF">
      <w:pPr>
        <w:jc w:val="center"/>
        <w:rPr>
          <w:b/>
          <w:bCs/>
        </w:rPr>
      </w:pPr>
      <w:r w:rsidRPr="00732E4D">
        <w:rPr>
          <w:b/>
          <w:bCs/>
        </w:rPr>
        <w:t>Maestría en Analítica de Datos</w:t>
      </w:r>
    </w:p>
    <w:p w14:paraId="3FA38C26" w14:textId="77777777" w:rsidR="00386CAF" w:rsidRDefault="00386CAF" w:rsidP="00386CAF">
      <w:pPr>
        <w:jc w:val="center"/>
        <w:rPr>
          <w:b/>
          <w:bCs/>
        </w:rPr>
      </w:pPr>
    </w:p>
    <w:p w14:paraId="5BD01089" w14:textId="77777777" w:rsidR="00386CAF" w:rsidRDefault="007F75A7" w:rsidP="00386CAF">
      <w:pPr>
        <w:jc w:val="center"/>
        <w:rPr>
          <w:b/>
          <w:bCs/>
        </w:rPr>
      </w:pPr>
      <w:r w:rsidRPr="00732E4D">
        <w:rPr>
          <w:b/>
          <w:bCs/>
        </w:rPr>
        <w:t xml:space="preserve">Profesor: </w:t>
      </w:r>
    </w:p>
    <w:p w14:paraId="47587CFB" w14:textId="00446B2B" w:rsidR="007F75A7" w:rsidRPr="00732E4D" w:rsidRDefault="007F75A7" w:rsidP="00386CAF">
      <w:pPr>
        <w:jc w:val="center"/>
        <w:rPr>
          <w:b/>
          <w:bCs/>
        </w:rPr>
      </w:pPr>
      <w:r w:rsidRPr="00732E4D">
        <w:rPr>
          <w:b/>
          <w:bCs/>
        </w:rPr>
        <w:t>Juan Castillo, PhD</w:t>
      </w:r>
    </w:p>
    <w:p w14:paraId="04AE14F0" w14:textId="77777777" w:rsidR="007F75A7" w:rsidRPr="00732E4D" w:rsidRDefault="007F75A7" w:rsidP="00386CAF">
      <w:pPr>
        <w:jc w:val="center"/>
        <w:rPr>
          <w:b/>
          <w:bCs/>
        </w:rPr>
      </w:pPr>
    </w:p>
    <w:p w14:paraId="54986960" w14:textId="3D053D1C" w:rsidR="007F75A7" w:rsidRPr="00732E4D" w:rsidRDefault="007F75A7" w:rsidP="00386CAF">
      <w:pPr>
        <w:jc w:val="center"/>
        <w:rPr>
          <w:b/>
          <w:bCs/>
        </w:rPr>
      </w:pPr>
      <w:r w:rsidRPr="00732E4D">
        <w:rPr>
          <w:b/>
          <w:bCs/>
        </w:rPr>
        <w:t>Estudiante:</w:t>
      </w:r>
    </w:p>
    <w:p w14:paraId="423DC4FC" w14:textId="460625B7" w:rsidR="007F75A7" w:rsidRDefault="007F75A7" w:rsidP="00386CAF">
      <w:pPr>
        <w:jc w:val="center"/>
      </w:pPr>
      <w:r>
        <w:t>Isaac Medina</w:t>
      </w:r>
    </w:p>
    <w:p w14:paraId="0FBBD390" w14:textId="16E2F1E0" w:rsidR="007F75A7" w:rsidRDefault="007F75A7" w:rsidP="00386CAF">
      <w:pPr>
        <w:jc w:val="center"/>
      </w:pPr>
      <w:r>
        <w:t>8-861-1706</w:t>
      </w:r>
    </w:p>
    <w:p w14:paraId="2EA5ED8C" w14:textId="77777777" w:rsidR="007F75A7" w:rsidRDefault="007F75A7" w:rsidP="00386CAF">
      <w:pPr>
        <w:jc w:val="center"/>
      </w:pPr>
    </w:p>
    <w:p w14:paraId="25FCAD83" w14:textId="6BD4CF61" w:rsidR="007F75A7" w:rsidRDefault="007F75A7" w:rsidP="00386CAF">
      <w:pPr>
        <w:jc w:val="center"/>
      </w:pPr>
      <w:r w:rsidRPr="00BE2140">
        <w:rPr>
          <w:b/>
          <w:bCs/>
        </w:rPr>
        <w:t>Propuesta de Proyecto Final</w:t>
      </w:r>
      <w:r>
        <w:t>:</w:t>
      </w:r>
    </w:p>
    <w:p w14:paraId="3164B867" w14:textId="76BF5A6B" w:rsidR="007F75A7" w:rsidRDefault="007F75A7" w:rsidP="00386CAF">
      <w:pPr>
        <w:jc w:val="center"/>
      </w:pPr>
      <w:r>
        <w:t>Estudio de carga de importación en los diferentes puertos de Estados Unidos.</w:t>
      </w:r>
    </w:p>
    <w:p w14:paraId="2DEB9D7B" w14:textId="77777777" w:rsidR="007F75A7" w:rsidRDefault="007F75A7" w:rsidP="00386CAF">
      <w:pPr>
        <w:jc w:val="center"/>
      </w:pPr>
    </w:p>
    <w:p w14:paraId="6FD96836" w14:textId="77777777" w:rsidR="00386CAF" w:rsidRDefault="00386CAF" w:rsidP="00386CAF">
      <w:pPr>
        <w:jc w:val="center"/>
        <w:rPr>
          <w:b/>
          <w:bCs/>
        </w:rPr>
      </w:pPr>
    </w:p>
    <w:p w14:paraId="7F78047F" w14:textId="77777777" w:rsidR="00386CAF" w:rsidRDefault="00386CAF" w:rsidP="00386CAF">
      <w:pPr>
        <w:jc w:val="center"/>
        <w:rPr>
          <w:b/>
          <w:bCs/>
        </w:rPr>
      </w:pPr>
    </w:p>
    <w:p w14:paraId="6391D90D" w14:textId="77777777" w:rsidR="00386CAF" w:rsidRDefault="00386CAF" w:rsidP="00386CAF">
      <w:pPr>
        <w:jc w:val="center"/>
        <w:rPr>
          <w:b/>
          <w:bCs/>
        </w:rPr>
      </w:pPr>
    </w:p>
    <w:p w14:paraId="668DDFEF" w14:textId="77777777" w:rsidR="00386CAF" w:rsidRDefault="00386CAF" w:rsidP="00386CAF">
      <w:pPr>
        <w:jc w:val="center"/>
        <w:rPr>
          <w:b/>
          <w:bCs/>
        </w:rPr>
      </w:pPr>
      <w:r>
        <w:rPr>
          <w:b/>
          <w:bCs/>
        </w:rPr>
        <w:br w:type="page"/>
      </w:r>
    </w:p>
    <w:p w14:paraId="0C7DF1BE" w14:textId="5A6B4BF0" w:rsidR="00386CAF" w:rsidRDefault="00386CAF" w:rsidP="00732E4D">
      <w:pPr>
        <w:jc w:val="both"/>
        <w:rPr>
          <w:b/>
          <w:bCs/>
        </w:rPr>
      </w:pPr>
      <w:r>
        <w:rPr>
          <w:b/>
          <w:bCs/>
        </w:rPr>
        <w:lastRenderedPageBreak/>
        <w:t>Introducción</w:t>
      </w:r>
    </w:p>
    <w:p w14:paraId="52FAEB27" w14:textId="77777777" w:rsidR="00386CAF" w:rsidRDefault="00386CAF" w:rsidP="00386CAF">
      <w:pPr>
        <w:jc w:val="both"/>
      </w:pPr>
      <w:r w:rsidRPr="00386CAF">
        <w:t xml:space="preserve">En un entorno global cada vez más interconectado, la eficiencia de las operaciones portuarias juega un papel crucial en el comercio internacional. </w:t>
      </w:r>
    </w:p>
    <w:p w14:paraId="72AE4C6E" w14:textId="77777777" w:rsidR="00386CAF" w:rsidRDefault="00386CAF" w:rsidP="00386CAF">
      <w:pPr>
        <w:jc w:val="both"/>
      </w:pPr>
      <w:r w:rsidRPr="00386CAF">
        <w:t xml:space="preserve">Este proyecto se enfoca en el análisis del comportamiento histórico de las importaciones en toneladas métricas registradas en puertos de Estados Unidos entre los años 2000 y 2017, utilizando un conjunto de datos obtenido de la plataforma </w:t>
      </w:r>
      <w:proofErr w:type="spellStart"/>
      <w:r w:rsidRPr="00386CAF">
        <w:t>Kaggle</w:t>
      </w:r>
      <w:proofErr w:type="spellEnd"/>
      <w:r w:rsidRPr="00386CAF">
        <w:t xml:space="preserve">. </w:t>
      </w:r>
    </w:p>
    <w:p w14:paraId="7A391747" w14:textId="7F1C1067" w:rsidR="00386CAF" w:rsidRPr="00386CAF" w:rsidRDefault="00386CAF" w:rsidP="00386CAF">
      <w:pPr>
        <w:jc w:val="both"/>
      </w:pPr>
      <w:r w:rsidRPr="00386CAF">
        <w:t>El objetivo principal es identificar patrones, variaciones regionales y proyecciones que puedan servir como base para la planificación estratégica y la toma de decisiones. Una estimación realista de la demanda futura permite a los puertos prepararse con antelación, optimizando recursos y garantizando una operación fluida y competitiva frente a las exigencias del mercado global.</w:t>
      </w:r>
    </w:p>
    <w:p w14:paraId="7B3EFA59" w14:textId="77777777" w:rsidR="00386CAF" w:rsidRPr="00386CAF" w:rsidRDefault="00386CAF" w:rsidP="00386CAF">
      <w:pPr>
        <w:jc w:val="both"/>
        <w:rPr>
          <w:b/>
          <w:bCs/>
        </w:rPr>
      </w:pPr>
    </w:p>
    <w:p w14:paraId="379A4BC5" w14:textId="77777777" w:rsidR="00386CAF" w:rsidRDefault="00386CAF">
      <w:pPr>
        <w:rPr>
          <w:b/>
          <w:bCs/>
        </w:rPr>
      </w:pPr>
      <w:r>
        <w:rPr>
          <w:b/>
          <w:bCs/>
        </w:rPr>
        <w:br w:type="page"/>
      </w:r>
    </w:p>
    <w:p w14:paraId="4B6C3E73" w14:textId="52537B11" w:rsidR="00386CAF" w:rsidRDefault="00386CAF" w:rsidP="00386CAF">
      <w:pPr>
        <w:jc w:val="both"/>
        <w:rPr>
          <w:b/>
          <w:bCs/>
        </w:rPr>
      </w:pPr>
      <w:r>
        <w:rPr>
          <w:b/>
          <w:bCs/>
        </w:rPr>
        <w:lastRenderedPageBreak/>
        <w:t>Justificación</w:t>
      </w:r>
    </w:p>
    <w:p w14:paraId="46010B26" w14:textId="77777777" w:rsidR="00386CAF" w:rsidRDefault="00386CAF" w:rsidP="00386CAF">
      <w:pPr>
        <w:jc w:val="both"/>
      </w:pPr>
      <w:r w:rsidRPr="00386CAF">
        <w:t xml:space="preserve">Este estudio cobra particular relevancia desde la perspectiva del Canal de Panamá, entidad clave en la cadena logística mundial y directamente conectada con los principales puertos de Estados Unidos y China. </w:t>
      </w:r>
    </w:p>
    <w:p w14:paraId="20C4BD06" w14:textId="77777777" w:rsidR="00386CAF" w:rsidRDefault="00386CAF" w:rsidP="00386CAF">
      <w:pPr>
        <w:jc w:val="both"/>
      </w:pPr>
      <w:r w:rsidRPr="00386CAF">
        <w:t>Comprender las dinámicas de importación de estos puertos los cuales representan una porción significativa del tráfico que transita por el Canal</w:t>
      </w:r>
      <w:r>
        <w:t>,</w:t>
      </w:r>
      <w:r w:rsidRPr="00386CAF">
        <w:t xml:space="preserve"> resulta vital para anticipar necesidades operativas, reducir cuellos de botella y mantener altos estándares de servicio. </w:t>
      </w:r>
    </w:p>
    <w:p w14:paraId="65A04060" w14:textId="7733FED9" w:rsidR="00386CAF" w:rsidRPr="00386CAF" w:rsidRDefault="00386CAF" w:rsidP="00386CAF">
      <w:pPr>
        <w:jc w:val="both"/>
      </w:pPr>
      <w:r w:rsidRPr="00386CAF">
        <w:t>En este sentido, el análisis de datos históricos no solo permite interpretar el pasado, sino también prepararse para los retos del futuro, impulsando una gestión más eficiente y alineada con las tendencias del comercio internacional.</w:t>
      </w:r>
    </w:p>
    <w:p w14:paraId="2F88C85F" w14:textId="77777777" w:rsidR="00386CAF" w:rsidRDefault="00386CAF" w:rsidP="00732E4D">
      <w:pPr>
        <w:jc w:val="both"/>
        <w:rPr>
          <w:b/>
          <w:bCs/>
        </w:rPr>
      </w:pPr>
    </w:p>
    <w:p w14:paraId="06937FA1" w14:textId="77777777" w:rsidR="0024033D" w:rsidRDefault="0024033D" w:rsidP="00732E4D">
      <w:pPr>
        <w:jc w:val="both"/>
        <w:rPr>
          <w:b/>
          <w:bCs/>
        </w:rPr>
      </w:pPr>
      <w:r>
        <w:rPr>
          <w:b/>
          <w:bCs/>
        </w:rPr>
        <w:br/>
      </w:r>
    </w:p>
    <w:p w14:paraId="3F7607E5" w14:textId="77777777" w:rsidR="0024033D" w:rsidRDefault="0024033D">
      <w:pPr>
        <w:rPr>
          <w:b/>
          <w:bCs/>
        </w:rPr>
      </w:pPr>
      <w:r>
        <w:rPr>
          <w:b/>
          <w:bCs/>
        </w:rPr>
        <w:br w:type="page"/>
      </w:r>
    </w:p>
    <w:p w14:paraId="75854262" w14:textId="6393FDA1" w:rsidR="00386CAF" w:rsidRDefault="00386CAF" w:rsidP="00732E4D">
      <w:pPr>
        <w:jc w:val="both"/>
        <w:rPr>
          <w:b/>
          <w:bCs/>
        </w:rPr>
      </w:pPr>
      <w:r>
        <w:rPr>
          <w:b/>
          <w:bCs/>
        </w:rPr>
        <w:lastRenderedPageBreak/>
        <w:t xml:space="preserve">Antecedentes </w:t>
      </w:r>
    </w:p>
    <w:p w14:paraId="7F64FD27" w14:textId="205E6858" w:rsidR="0024033D" w:rsidRDefault="0024033D" w:rsidP="0024033D">
      <w:pPr>
        <w:jc w:val="both"/>
      </w:pPr>
      <w:r>
        <w:t xml:space="preserve">El Canal de Panamá ha sido, desde su apertura en 1914, un pilar fundamental en la ruta del comercio marítimo global, especialmente entre Asia y la costa este de los Estados Unidos. Su ubicación estratégica permite reducir significativamente el tiempo y la distancia de navegación entre ambos extremos del Pacífico y el Atlántico, facilitando el tránsito eficiente de bienes y materias primas. Gracias a esta ventaja geográfica, el canal ha impulsado el desarrollo de cadenas logísticas más ágiles y rentables, convirtiéndose en un eje clave para el comercio entre puertos </w:t>
      </w:r>
      <w:r w:rsidR="003D7664">
        <w:t>asiáticos, especialmente</w:t>
      </w:r>
      <w:r>
        <w:t xml:space="preserve"> los de China, y ciudades portuarias del este estadounidense como Nueva York, Savannah y Miami.</w:t>
      </w:r>
    </w:p>
    <w:p w14:paraId="771089A0" w14:textId="6050C737" w:rsidR="00386CAF" w:rsidRDefault="0024033D" w:rsidP="0024033D">
      <w:pPr>
        <w:jc w:val="both"/>
      </w:pPr>
      <w:r>
        <w:t>Con la ampliación del Canal en 2016, que permitió el tránsito de buques de mayor capacidad (</w:t>
      </w:r>
      <w:proofErr w:type="spellStart"/>
      <w:r>
        <w:t>Neopanamax</w:t>
      </w:r>
      <w:proofErr w:type="spellEnd"/>
      <w:r>
        <w:t>), el flujo comercial entre Asia y la costa este se ha intensificado aún más, al brindar una alternativa competitiva frente a rutas más largas o complejas, como la del Canal de Suez o el transporte terrestre a través de América del Norte. Esta modernización ha reforzado el rol del Canal de Panamá como facilitador del comercio global, incrementando su relevancia estratégica para las líneas navieras, los exportadores asiáticos y los importadores estadounidenses. Su contribución ha sido clave para mejorar la eficiencia, reducir costos logísticos y sostener el crecimiento del intercambio comercial entre dos de las regiones más dinámicas del planeta.</w:t>
      </w:r>
    </w:p>
    <w:p w14:paraId="5AD9414D" w14:textId="77777777" w:rsidR="00386CAF" w:rsidRPr="00386CAF" w:rsidRDefault="00386CAF" w:rsidP="00732E4D">
      <w:pPr>
        <w:jc w:val="both"/>
      </w:pPr>
    </w:p>
    <w:p w14:paraId="48494211" w14:textId="77777777" w:rsidR="0024033D" w:rsidRDefault="0024033D">
      <w:pPr>
        <w:rPr>
          <w:b/>
          <w:bCs/>
        </w:rPr>
      </w:pPr>
      <w:r>
        <w:rPr>
          <w:b/>
          <w:bCs/>
        </w:rPr>
        <w:br w:type="page"/>
      </w:r>
    </w:p>
    <w:p w14:paraId="79883D55" w14:textId="036557CA" w:rsidR="0024033D" w:rsidRDefault="0024033D" w:rsidP="00732E4D">
      <w:pPr>
        <w:jc w:val="both"/>
        <w:rPr>
          <w:b/>
          <w:bCs/>
        </w:rPr>
      </w:pPr>
      <w:r>
        <w:rPr>
          <w:b/>
          <w:bCs/>
        </w:rPr>
        <w:lastRenderedPageBreak/>
        <w:t>Definición del Problema</w:t>
      </w:r>
    </w:p>
    <w:p w14:paraId="3D04CC03" w14:textId="6F074A13" w:rsidR="0024033D" w:rsidRDefault="0024033D" w:rsidP="00732E4D">
      <w:pPr>
        <w:jc w:val="both"/>
      </w:pPr>
      <w:r>
        <w:t>E</w:t>
      </w:r>
      <w:r w:rsidRPr="00BE2140">
        <w:t>ste proyecto busca analizar el comportamiento histórico de las importaciones en toneladas métricas desde el año 2000 al 2017 en los principales puertos de Estados Unidos</w:t>
      </w:r>
      <w:r>
        <w:t xml:space="preserve"> como Nueva York, Savannah y Miami</w:t>
      </w:r>
      <w:r w:rsidR="003D7664">
        <w:t xml:space="preserve"> ya que como mencioné anteriormente forman parte de una de las principales rutas comerciales que transitan por el Canal De Panamá. </w:t>
      </w:r>
    </w:p>
    <w:p w14:paraId="0D137BC4" w14:textId="1302DCC4" w:rsidR="003D7664" w:rsidRDefault="003D7664" w:rsidP="00732E4D">
      <w:pPr>
        <w:jc w:val="both"/>
      </w:pPr>
      <w:r>
        <w:t>Demostrar si la ampliación del Canal ha tenido algún impacto positivo sobre esta ruta y predecir o estimar las importaciones futuras para estos puertos tan importantes para los Estados Unidos.</w:t>
      </w:r>
    </w:p>
    <w:p w14:paraId="002A8593" w14:textId="7A52FAF1" w:rsidR="003D7664" w:rsidRDefault="003D7664">
      <w:r>
        <w:br w:type="page"/>
      </w:r>
    </w:p>
    <w:p w14:paraId="5C71E5A3" w14:textId="4D6B4F66" w:rsidR="003D7664" w:rsidRDefault="003D7664" w:rsidP="00732E4D">
      <w:pPr>
        <w:jc w:val="both"/>
        <w:rPr>
          <w:b/>
          <w:bCs/>
        </w:rPr>
      </w:pPr>
      <w:r>
        <w:rPr>
          <w:b/>
          <w:bCs/>
        </w:rPr>
        <w:lastRenderedPageBreak/>
        <w:t>Análisis descriptivo de los Datos.</w:t>
      </w:r>
    </w:p>
    <w:p w14:paraId="1EF9A91A" w14:textId="4B9EB9D9" w:rsidR="00946ABB" w:rsidRDefault="00946ABB" w:rsidP="00201234">
      <w:pPr>
        <w:jc w:val="both"/>
      </w:pPr>
      <w:r w:rsidRPr="00946ABB">
        <w:t xml:space="preserve">En el </w:t>
      </w:r>
      <w:r>
        <w:t>siguiente análisis obtenido del sitio web de estadísticas del Canal de Panamá (</w:t>
      </w:r>
      <w:r w:rsidRPr="00946ABB">
        <w:t>https://pancanal.com/estadisticas/</w:t>
      </w:r>
      <w:r>
        <w:t>) podemos observas que las rutas más relevantes son las que tienen como destino la costa este de los Estados Unidos y Asia.</w:t>
      </w:r>
    </w:p>
    <w:p w14:paraId="4E39C318" w14:textId="5224FC9B" w:rsidR="00946ABB" w:rsidRDefault="00946ABB" w:rsidP="00201234">
      <w:pPr>
        <w:jc w:val="both"/>
      </w:pPr>
      <w:r w:rsidRPr="00946ABB">
        <w:rPr>
          <w:noProof/>
        </w:rPr>
        <w:drawing>
          <wp:inline distT="0" distB="0" distL="0" distR="0" wp14:anchorId="6FFBAD42" wp14:editId="3312BE5B">
            <wp:extent cx="5612130" cy="3304540"/>
            <wp:effectExtent l="0" t="0" r="7620" b="0"/>
            <wp:docPr id="964017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17656" name="Picture 1" descr="A screenshot of a computer&#10;&#10;AI-generated content may be incorrect."/>
                    <pic:cNvPicPr/>
                  </pic:nvPicPr>
                  <pic:blipFill>
                    <a:blip r:embed="rId5"/>
                    <a:stretch>
                      <a:fillRect/>
                    </a:stretch>
                  </pic:blipFill>
                  <pic:spPr>
                    <a:xfrm>
                      <a:off x="0" y="0"/>
                      <a:ext cx="5612130" cy="3304540"/>
                    </a:xfrm>
                    <a:prstGeom prst="rect">
                      <a:avLst/>
                    </a:prstGeom>
                  </pic:spPr>
                </pic:pic>
              </a:graphicData>
            </a:graphic>
          </wp:inline>
        </w:drawing>
      </w:r>
    </w:p>
    <w:p w14:paraId="1436631A" w14:textId="40DB589F" w:rsidR="00946ABB" w:rsidRPr="00946ABB" w:rsidRDefault="003834B4" w:rsidP="00201234">
      <w:pPr>
        <w:jc w:val="both"/>
      </w:pPr>
      <w:r>
        <w:t>Notamos que la costa este de Estados Unidos con 50,064 mil supera más de 3 veces la siguiente ruta comercial Europa con 13,960 mil.</w:t>
      </w:r>
    </w:p>
    <w:p w14:paraId="1A0E8EB7" w14:textId="43A152FE" w:rsidR="00201234" w:rsidRDefault="00201234" w:rsidP="00201234">
      <w:pPr>
        <w:jc w:val="both"/>
        <w:rPr>
          <w:b/>
          <w:bCs/>
        </w:rPr>
      </w:pPr>
      <w:r w:rsidRPr="00201234">
        <w:rPr>
          <w:b/>
          <w:bCs/>
        </w:rPr>
        <w:lastRenderedPageBreak/>
        <w:t>Iniciamos mostrando los Puertos de la costa este con mayor carga de importación en toneladas métricas para el año 2017.</w:t>
      </w:r>
      <w:r w:rsidRPr="00201234">
        <w:rPr>
          <w:b/>
          <w:bCs/>
        </w:rPr>
        <w:br/>
      </w:r>
      <w:r w:rsidRPr="00201234">
        <w:rPr>
          <w:noProof/>
        </w:rPr>
        <w:drawing>
          <wp:inline distT="0" distB="0" distL="0" distR="0" wp14:anchorId="350A931A" wp14:editId="33641842">
            <wp:extent cx="5612130" cy="3395980"/>
            <wp:effectExtent l="0" t="0" r="7620" b="0"/>
            <wp:docPr id="292106164" name="Picture 1" descr="A graph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06164" name="Picture 1" descr="A graph of blue squares&#10;&#10;AI-generated content may be incorrect."/>
                    <pic:cNvPicPr/>
                  </pic:nvPicPr>
                  <pic:blipFill>
                    <a:blip r:embed="rId6"/>
                    <a:stretch>
                      <a:fillRect/>
                    </a:stretch>
                  </pic:blipFill>
                  <pic:spPr>
                    <a:xfrm>
                      <a:off x="0" y="0"/>
                      <a:ext cx="5612130" cy="3395980"/>
                    </a:xfrm>
                    <a:prstGeom prst="rect">
                      <a:avLst/>
                    </a:prstGeom>
                  </pic:spPr>
                </pic:pic>
              </a:graphicData>
            </a:graphic>
          </wp:inline>
        </w:drawing>
      </w:r>
    </w:p>
    <w:p w14:paraId="147AAA34" w14:textId="2A6CAD21" w:rsidR="003D7664" w:rsidRDefault="00201234" w:rsidP="00201234">
      <w:pPr>
        <w:jc w:val="both"/>
        <w:rPr>
          <w:noProof/>
        </w:rPr>
      </w:pPr>
      <w:r w:rsidRPr="00201234">
        <w:rPr>
          <w:b/>
          <w:bCs/>
        </w:rPr>
        <w:br/>
      </w:r>
      <w:r w:rsidRPr="00201234">
        <w:rPr>
          <w:b/>
          <w:bCs/>
          <w:noProof/>
        </w:rPr>
        <w:drawing>
          <wp:inline distT="0" distB="0" distL="0" distR="0" wp14:anchorId="38FADA7D" wp14:editId="3C60CABE">
            <wp:extent cx="1790950" cy="2124371"/>
            <wp:effectExtent l="0" t="0" r="0" b="0"/>
            <wp:docPr id="200762466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24661" name="Picture 1" descr="A screenshot of a phone&#10;&#10;AI-generated content may be incorrect."/>
                    <pic:cNvPicPr/>
                  </pic:nvPicPr>
                  <pic:blipFill>
                    <a:blip r:embed="rId7"/>
                    <a:stretch>
                      <a:fillRect/>
                    </a:stretch>
                  </pic:blipFill>
                  <pic:spPr>
                    <a:xfrm>
                      <a:off x="0" y="0"/>
                      <a:ext cx="1790950" cy="2124371"/>
                    </a:xfrm>
                    <a:prstGeom prst="rect">
                      <a:avLst/>
                    </a:prstGeom>
                  </pic:spPr>
                </pic:pic>
              </a:graphicData>
            </a:graphic>
          </wp:inline>
        </w:drawing>
      </w:r>
      <w:r w:rsidRPr="00201234">
        <w:rPr>
          <w:noProof/>
        </w:rPr>
        <w:t xml:space="preserve"> </w:t>
      </w:r>
      <w:r w:rsidRPr="00201234">
        <w:rPr>
          <w:b/>
          <w:bCs/>
          <w:noProof/>
        </w:rPr>
        <w:drawing>
          <wp:inline distT="0" distB="0" distL="0" distR="0" wp14:anchorId="24AF54AF" wp14:editId="2FC3B27C">
            <wp:extent cx="892781" cy="2101755"/>
            <wp:effectExtent l="0" t="0" r="3175" b="0"/>
            <wp:docPr id="104430187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1872" name="Picture 1" descr="A screenshot of a cell phone&#10;&#10;AI-generated content may be incorrect."/>
                    <pic:cNvPicPr/>
                  </pic:nvPicPr>
                  <pic:blipFill>
                    <a:blip r:embed="rId8"/>
                    <a:stretch>
                      <a:fillRect/>
                    </a:stretch>
                  </pic:blipFill>
                  <pic:spPr>
                    <a:xfrm>
                      <a:off x="0" y="0"/>
                      <a:ext cx="901386" cy="2122012"/>
                    </a:xfrm>
                    <a:prstGeom prst="rect">
                      <a:avLst/>
                    </a:prstGeom>
                  </pic:spPr>
                </pic:pic>
              </a:graphicData>
            </a:graphic>
          </wp:inline>
        </w:drawing>
      </w:r>
    </w:p>
    <w:p w14:paraId="7E4DFBBD" w14:textId="3806A963" w:rsidR="00477698" w:rsidRDefault="00477698">
      <w:pPr>
        <w:rPr>
          <w:noProof/>
        </w:rPr>
      </w:pPr>
      <w:r>
        <w:rPr>
          <w:noProof/>
        </w:rPr>
        <w:br w:type="page"/>
      </w:r>
    </w:p>
    <w:p w14:paraId="729D1CAB" w14:textId="65430704" w:rsidR="00477698" w:rsidRDefault="003D1F58" w:rsidP="00201234">
      <w:pPr>
        <w:jc w:val="both"/>
      </w:pPr>
      <w:r>
        <w:lastRenderedPageBreak/>
        <w:t xml:space="preserve">Se analiza la evolución de las importaciones en el puerto </w:t>
      </w:r>
      <w:r w:rsidRPr="003D1F58">
        <w:t>New York, NY (2000–2017)</w:t>
      </w:r>
      <w:r>
        <w:t>.</w:t>
      </w:r>
    </w:p>
    <w:p w14:paraId="300F378F" w14:textId="46D6C661" w:rsidR="003D1F58" w:rsidRDefault="003D1F58" w:rsidP="00201234">
      <w:pPr>
        <w:jc w:val="both"/>
      </w:pPr>
      <w:r w:rsidRPr="003D1F58">
        <w:rPr>
          <w:noProof/>
        </w:rPr>
        <w:drawing>
          <wp:inline distT="0" distB="0" distL="0" distR="0" wp14:anchorId="3885476A" wp14:editId="602F91DC">
            <wp:extent cx="4519491" cy="2695433"/>
            <wp:effectExtent l="0" t="0" r="0" b="0"/>
            <wp:docPr id="1591385238"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85238" name="Picture 1" descr="A graph with a line going up&#10;&#10;AI-generated content may be incorrect."/>
                    <pic:cNvPicPr/>
                  </pic:nvPicPr>
                  <pic:blipFill>
                    <a:blip r:embed="rId9"/>
                    <a:stretch>
                      <a:fillRect/>
                    </a:stretch>
                  </pic:blipFill>
                  <pic:spPr>
                    <a:xfrm>
                      <a:off x="0" y="0"/>
                      <a:ext cx="4539198" cy="2707186"/>
                    </a:xfrm>
                    <a:prstGeom prst="rect">
                      <a:avLst/>
                    </a:prstGeom>
                  </pic:spPr>
                </pic:pic>
              </a:graphicData>
            </a:graphic>
          </wp:inline>
        </w:drawing>
      </w:r>
    </w:p>
    <w:p w14:paraId="2A2517E1" w14:textId="77777777" w:rsidR="003D1F58" w:rsidRDefault="003D1F58" w:rsidP="00201234">
      <w:pPr>
        <w:jc w:val="both"/>
      </w:pPr>
    </w:p>
    <w:p w14:paraId="4429C5BD" w14:textId="6E04033A" w:rsidR="00844E78" w:rsidRDefault="00844E78" w:rsidP="00844E78">
      <w:pPr>
        <w:jc w:val="both"/>
      </w:pPr>
      <w:r>
        <w:t xml:space="preserve">Se analiza la evolución de las importaciones en el puerto </w:t>
      </w:r>
      <w:r w:rsidRPr="00844E78">
        <w:t>Charleston, SC</w:t>
      </w:r>
      <w:r w:rsidRPr="003D1F58">
        <w:t xml:space="preserve"> (2000–2017)</w:t>
      </w:r>
      <w:r>
        <w:t>.</w:t>
      </w:r>
    </w:p>
    <w:p w14:paraId="0291AAC6" w14:textId="0A50419D" w:rsidR="003D1F58" w:rsidRDefault="00844E78" w:rsidP="00201234">
      <w:pPr>
        <w:jc w:val="both"/>
      </w:pPr>
      <w:r w:rsidRPr="00844E78">
        <w:rPr>
          <w:noProof/>
        </w:rPr>
        <w:drawing>
          <wp:inline distT="0" distB="0" distL="0" distR="0" wp14:anchorId="43F1DE41" wp14:editId="2936B128">
            <wp:extent cx="4531057" cy="2713097"/>
            <wp:effectExtent l="0" t="0" r="3175" b="0"/>
            <wp:docPr id="2045197244"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97244" name="Picture 1" descr="A graph with blue lines and dots&#10;&#10;AI-generated content may be incorrect."/>
                    <pic:cNvPicPr/>
                  </pic:nvPicPr>
                  <pic:blipFill>
                    <a:blip r:embed="rId10"/>
                    <a:stretch>
                      <a:fillRect/>
                    </a:stretch>
                  </pic:blipFill>
                  <pic:spPr>
                    <a:xfrm>
                      <a:off x="0" y="0"/>
                      <a:ext cx="4541829" cy="2719547"/>
                    </a:xfrm>
                    <a:prstGeom prst="rect">
                      <a:avLst/>
                    </a:prstGeom>
                  </pic:spPr>
                </pic:pic>
              </a:graphicData>
            </a:graphic>
          </wp:inline>
        </w:drawing>
      </w:r>
    </w:p>
    <w:p w14:paraId="03493CBF" w14:textId="2BAC2382" w:rsidR="00844E78" w:rsidRDefault="00844E78">
      <w:r>
        <w:br w:type="page"/>
      </w:r>
    </w:p>
    <w:p w14:paraId="05DB0DF2" w14:textId="7636E361" w:rsidR="00844E78" w:rsidRDefault="00844E78" w:rsidP="00201234">
      <w:pPr>
        <w:jc w:val="both"/>
      </w:pPr>
      <w:r>
        <w:lastRenderedPageBreak/>
        <w:t xml:space="preserve">Se analiza la evolución de las importaciones en el puerto </w:t>
      </w:r>
      <w:r w:rsidRPr="00844E78">
        <w:t>Miami, FL</w:t>
      </w:r>
      <w:r w:rsidRPr="003D1F58">
        <w:t xml:space="preserve"> (2000–2017)</w:t>
      </w:r>
      <w:r>
        <w:t>.</w:t>
      </w:r>
    </w:p>
    <w:p w14:paraId="2750B2A0" w14:textId="51C51CE6" w:rsidR="00844E78" w:rsidRPr="003D1F58" w:rsidRDefault="00844E78" w:rsidP="00201234">
      <w:pPr>
        <w:jc w:val="both"/>
      </w:pPr>
      <w:r w:rsidRPr="00844E78">
        <w:rPr>
          <w:noProof/>
        </w:rPr>
        <w:drawing>
          <wp:inline distT="0" distB="0" distL="0" distR="0" wp14:anchorId="11F27887" wp14:editId="47CCE96B">
            <wp:extent cx="4634797" cy="2770495"/>
            <wp:effectExtent l="0" t="0" r="0" b="0"/>
            <wp:docPr id="1043260236"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60236" name="Picture 1" descr="A graph with a line and a line&#10;&#10;AI-generated content may be incorrect."/>
                    <pic:cNvPicPr/>
                  </pic:nvPicPr>
                  <pic:blipFill>
                    <a:blip r:embed="rId11"/>
                    <a:stretch>
                      <a:fillRect/>
                    </a:stretch>
                  </pic:blipFill>
                  <pic:spPr>
                    <a:xfrm>
                      <a:off x="0" y="0"/>
                      <a:ext cx="4656707" cy="2783592"/>
                    </a:xfrm>
                    <a:prstGeom prst="rect">
                      <a:avLst/>
                    </a:prstGeom>
                  </pic:spPr>
                </pic:pic>
              </a:graphicData>
            </a:graphic>
          </wp:inline>
        </w:drawing>
      </w:r>
    </w:p>
    <w:p w14:paraId="0856B42D" w14:textId="77777777" w:rsidR="007F75A7" w:rsidRDefault="007F75A7" w:rsidP="00732E4D">
      <w:pPr>
        <w:jc w:val="both"/>
      </w:pPr>
    </w:p>
    <w:p w14:paraId="55856596" w14:textId="77777777" w:rsidR="00C226DD" w:rsidRDefault="00C226DD" w:rsidP="00C226DD">
      <w:pPr>
        <w:jc w:val="both"/>
      </w:pPr>
    </w:p>
    <w:p w14:paraId="643FA0A9" w14:textId="78399E93" w:rsidR="00C226DD" w:rsidRDefault="00C226DD" w:rsidP="00C226DD">
      <w:pPr>
        <w:jc w:val="both"/>
      </w:pPr>
      <w:r>
        <w:t xml:space="preserve">Se analiza la evolución de las importaciones en el puerto </w:t>
      </w:r>
      <w:r w:rsidRPr="00C226DD">
        <w:t>Norfolk, VA</w:t>
      </w:r>
      <w:r>
        <w:t xml:space="preserve"> </w:t>
      </w:r>
      <w:r w:rsidRPr="003D1F58">
        <w:t>(2000–2017)</w:t>
      </w:r>
      <w:r>
        <w:t>.</w:t>
      </w:r>
    </w:p>
    <w:p w14:paraId="6FC1434C" w14:textId="13E95493" w:rsidR="00C226DD" w:rsidRDefault="00C226DD" w:rsidP="00732E4D">
      <w:pPr>
        <w:jc w:val="both"/>
      </w:pPr>
      <w:r w:rsidRPr="00C226DD">
        <w:rPr>
          <w:noProof/>
        </w:rPr>
        <w:drawing>
          <wp:inline distT="0" distB="0" distL="0" distR="0" wp14:anchorId="795E4D30" wp14:editId="074C2AF5">
            <wp:extent cx="4667534" cy="2802210"/>
            <wp:effectExtent l="0" t="0" r="0" b="0"/>
            <wp:docPr id="131346351"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6351" name="Picture 1" descr="A graph with a line and a line&#10;&#10;AI-generated content may be incorrect."/>
                    <pic:cNvPicPr/>
                  </pic:nvPicPr>
                  <pic:blipFill>
                    <a:blip r:embed="rId12"/>
                    <a:stretch>
                      <a:fillRect/>
                    </a:stretch>
                  </pic:blipFill>
                  <pic:spPr>
                    <a:xfrm>
                      <a:off x="0" y="0"/>
                      <a:ext cx="4678060" cy="2808529"/>
                    </a:xfrm>
                    <a:prstGeom prst="rect">
                      <a:avLst/>
                    </a:prstGeom>
                  </pic:spPr>
                </pic:pic>
              </a:graphicData>
            </a:graphic>
          </wp:inline>
        </w:drawing>
      </w:r>
    </w:p>
    <w:p w14:paraId="1CE004E5" w14:textId="18CF0E8C" w:rsidR="003834B4" w:rsidRDefault="003834B4">
      <w:r>
        <w:br w:type="page"/>
      </w:r>
    </w:p>
    <w:p w14:paraId="5A6DE11B" w14:textId="628E904A" w:rsidR="00C226DD" w:rsidRDefault="003834B4" w:rsidP="00732E4D">
      <w:pPr>
        <w:jc w:val="both"/>
      </w:pPr>
      <w:r>
        <w:lastRenderedPageBreak/>
        <w:t xml:space="preserve">Se comparan la evolución de importaciones desde el año 2000 al 2017 para los puertos de </w:t>
      </w:r>
      <w:r w:rsidRPr="003834B4">
        <w:t>New York, NY, Savannah, GA, Charleston, SC</w:t>
      </w:r>
      <w:r>
        <w:t xml:space="preserve"> y </w:t>
      </w:r>
      <w:r w:rsidRPr="003834B4">
        <w:t>Miami, FL</w:t>
      </w:r>
      <w:r>
        <w:t>.</w:t>
      </w:r>
    </w:p>
    <w:p w14:paraId="353B10A3" w14:textId="7A5BE3EA" w:rsidR="003834B4" w:rsidRDefault="003834B4" w:rsidP="00732E4D">
      <w:pPr>
        <w:jc w:val="both"/>
      </w:pPr>
      <w:r w:rsidRPr="003834B4">
        <w:rPr>
          <w:noProof/>
        </w:rPr>
        <w:drawing>
          <wp:inline distT="0" distB="0" distL="0" distR="0" wp14:anchorId="32437C13" wp14:editId="2469DF68">
            <wp:extent cx="5612130" cy="2796540"/>
            <wp:effectExtent l="0" t="0" r="7620" b="3810"/>
            <wp:docPr id="23791091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0914" name="Picture 1" descr="A graph with lines and dots&#10;&#10;AI-generated content may be incorrect."/>
                    <pic:cNvPicPr/>
                  </pic:nvPicPr>
                  <pic:blipFill>
                    <a:blip r:embed="rId13"/>
                    <a:stretch>
                      <a:fillRect/>
                    </a:stretch>
                  </pic:blipFill>
                  <pic:spPr>
                    <a:xfrm>
                      <a:off x="0" y="0"/>
                      <a:ext cx="5612130" cy="2796540"/>
                    </a:xfrm>
                    <a:prstGeom prst="rect">
                      <a:avLst/>
                    </a:prstGeom>
                  </pic:spPr>
                </pic:pic>
              </a:graphicData>
            </a:graphic>
          </wp:inline>
        </w:drawing>
      </w:r>
    </w:p>
    <w:p w14:paraId="0E580214" w14:textId="3B39F754" w:rsidR="003834B4" w:rsidRDefault="003834B4">
      <w:r>
        <w:t>Notamos que estos puertos tuvieron una disminución considerable en las importaciones para el año 2009 debido, muy probablemente a la gran depresión que sufrió los Estados Unidos ese año.</w:t>
      </w:r>
    </w:p>
    <w:p w14:paraId="2F8CA43B" w14:textId="1BB0452D" w:rsidR="005A7180" w:rsidRDefault="005A7180">
      <w:r>
        <w:br w:type="page"/>
      </w:r>
    </w:p>
    <w:p w14:paraId="545A8179" w14:textId="11CDCA55" w:rsidR="003834B4" w:rsidRDefault="005A7180">
      <w:r>
        <w:lastRenderedPageBreak/>
        <w:t xml:space="preserve">Empecemos a realiza análisis de correlación para saber si existe una relación lineal en las </w:t>
      </w:r>
      <w:r w:rsidRPr="005A7180">
        <w:t>series de importación</w:t>
      </w:r>
      <w:r>
        <w:t xml:space="preserve"> de distintos puertos.</w:t>
      </w:r>
    </w:p>
    <w:p w14:paraId="5FBE74B2" w14:textId="47E605B4" w:rsidR="003834B4" w:rsidRDefault="00C06AF3">
      <w:r w:rsidRPr="00C06AF3">
        <w:t xml:space="preserve">Correlación entre los puertos de Miami, FL y New York, NY. </w:t>
      </w:r>
      <w:r>
        <w:t xml:space="preserve">Tenemos un coeficiente de Pearson de </w:t>
      </w:r>
      <w:r w:rsidRPr="00C06AF3">
        <w:rPr>
          <w:b/>
          <w:bCs/>
        </w:rPr>
        <w:t>0.08</w:t>
      </w:r>
      <w:r>
        <w:t xml:space="preserve"> lo que significa n</w:t>
      </w:r>
      <w:r w:rsidRPr="00C06AF3">
        <w:t>o hay una relación lineal significativa entre las importaciones en Miami y New York en el período 2000–2017. Es decir, los aumentos o disminuciones en las importaciones de un puerto no están relacionados directamente con los del otro. Esto puede deberse a que ambos puertos manejan diferentes tipos de carga, mercados de destino, o están influenciados por factores logísticos y comerciales distintos.</w:t>
      </w:r>
    </w:p>
    <w:p w14:paraId="61F67F6E" w14:textId="0608044D" w:rsidR="00C06AF3" w:rsidRDefault="00C06AF3">
      <w:r w:rsidRPr="00C06AF3">
        <w:rPr>
          <w:noProof/>
        </w:rPr>
        <w:drawing>
          <wp:inline distT="0" distB="0" distL="0" distR="0" wp14:anchorId="7C99A8D4" wp14:editId="75228DCA">
            <wp:extent cx="5405218" cy="3956365"/>
            <wp:effectExtent l="0" t="0" r="5080" b="6350"/>
            <wp:docPr id="69653451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4518" name="Picture 1" descr="A graph with a red line&#10;&#10;AI-generated content may be incorrect."/>
                    <pic:cNvPicPr/>
                  </pic:nvPicPr>
                  <pic:blipFill>
                    <a:blip r:embed="rId14"/>
                    <a:stretch>
                      <a:fillRect/>
                    </a:stretch>
                  </pic:blipFill>
                  <pic:spPr>
                    <a:xfrm>
                      <a:off x="0" y="0"/>
                      <a:ext cx="5414091" cy="3962860"/>
                    </a:xfrm>
                    <a:prstGeom prst="rect">
                      <a:avLst/>
                    </a:prstGeom>
                  </pic:spPr>
                </pic:pic>
              </a:graphicData>
            </a:graphic>
          </wp:inline>
        </w:drawing>
      </w:r>
    </w:p>
    <w:p w14:paraId="2F1AB70E" w14:textId="77777777" w:rsidR="00C226DD" w:rsidRDefault="00C226DD" w:rsidP="00732E4D">
      <w:pPr>
        <w:jc w:val="both"/>
      </w:pPr>
    </w:p>
    <w:p w14:paraId="1241FE74" w14:textId="08CB630A" w:rsidR="00C06AF3" w:rsidRDefault="00C06AF3">
      <w:r>
        <w:br w:type="page"/>
      </w:r>
    </w:p>
    <w:p w14:paraId="7DA32143" w14:textId="1ADB6E1E" w:rsidR="00C06AF3" w:rsidRDefault="003F79B7" w:rsidP="00732E4D">
      <w:pPr>
        <w:jc w:val="both"/>
      </w:pPr>
      <w:r>
        <w:lastRenderedPageBreak/>
        <w:t xml:space="preserve">Correlación entre los puertos </w:t>
      </w:r>
      <w:r w:rsidRPr="003F79B7">
        <w:t xml:space="preserve">Los </w:t>
      </w:r>
      <w:r w:rsidR="00383415" w:rsidRPr="003F79B7">
        <w:t>Ángeles</w:t>
      </w:r>
      <w:r w:rsidRPr="003F79B7">
        <w:t>, CA</w:t>
      </w:r>
      <w:r>
        <w:t xml:space="preserve"> y </w:t>
      </w:r>
      <w:r w:rsidRPr="003F79B7">
        <w:t>New York, NY</w:t>
      </w:r>
      <w:r>
        <w:t xml:space="preserve">. Tenemos un coeficiente de Pearson de </w:t>
      </w:r>
      <w:r w:rsidRPr="003F79B7">
        <w:rPr>
          <w:b/>
          <w:bCs/>
        </w:rPr>
        <w:t>0.86</w:t>
      </w:r>
      <w:r>
        <w:t xml:space="preserve"> </w:t>
      </w:r>
      <w:r w:rsidRPr="003F79B7">
        <w:t>lo que indica una fuerte correlación positiva entre las importaciones en estos dos puertos entre los años 2000 y 2017</w:t>
      </w:r>
      <w:r>
        <w:t>.</w:t>
      </w:r>
    </w:p>
    <w:p w14:paraId="7966915C" w14:textId="292E3B0E" w:rsidR="003F79B7" w:rsidRDefault="003F79B7" w:rsidP="00732E4D">
      <w:pPr>
        <w:jc w:val="both"/>
      </w:pPr>
      <w:r w:rsidRPr="003F79B7">
        <w:t xml:space="preserve">Cuando aumentan las importaciones en Los </w:t>
      </w:r>
      <w:r w:rsidR="00383415" w:rsidRPr="003F79B7">
        <w:t>Ángeles</w:t>
      </w:r>
      <w:r w:rsidRPr="003F79B7">
        <w:t xml:space="preserve">, generalmente también aumentan en New York, y viceversa. Esto sugiere que ambos puertos responden a dinámicas similares del comercio internacional, probablemente influenciadas por factores macroeconómicos globales como el crecimiento económico de </w:t>
      </w:r>
      <w:proofErr w:type="gramStart"/>
      <w:r w:rsidRPr="003F79B7">
        <w:t>EE.UU.</w:t>
      </w:r>
      <w:proofErr w:type="gramEnd"/>
      <w:r w:rsidRPr="003F79B7">
        <w:t>, la demanda de bienes de consumo, y la relación comercial con Asia.</w:t>
      </w:r>
    </w:p>
    <w:p w14:paraId="1E5CE27A" w14:textId="0419235C" w:rsidR="003F79B7" w:rsidRDefault="003F79B7" w:rsidP="00732E4D">
      <w:pPr>
        <w:jc w:val="both"/>
      </w:pPr>
      <w:r w:rsidRPr="003F79B7">
        <w:rPr>
          <w:noProof/>
        </w:rPr>
        <w:drawing>
          <wp:inline distT="0" distB="0" distL="0" distR="0" wp14:anchorId="536E389E" wp14:editId="21195360">
            <wp:extent cx="5612130" cy="4081780"/>
            <wp:effectExtent l="0" t="0" r="7620" b="0"/>
            <wp:docPr id="631535978"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35978" name="Picture 1" descr="A graph with a red line&#10;&#10;AI-generated content may be incorrect."/>
                    <pic:cNvPicPr/>
                  </pic:nvPicPr>
                  <pic:blipFill>
                    <a:blip r:embed="rId15"/>
                    <a:stretch>
                      <a:fillRect/>
                    </a:stretch>
                  </pic:blipFill>
                  <pic:spPr>
                    <a:xfrm>
                      <a:off x="0" y="0"/>
                      <a:ext cx="5612130" cy="4081780"/>
                    </a:xfrm>
                    <a:prstGeom prst="rect">
                      <a:avLst/>
                    </a:prstGeom>
                  </pic:spPr>
                </pic:pic>
              </a:graphicData>
            </a:graphic>
          </wp:inline>
        </w:drawing>
      </w:r>
    </w:p>
    <w:p w14:paraId="17192374" w14:textId="77777777" w:rsidR="003F79B7" w:rsidRDefault="003F79B7" w:rsidP="00732E4D">
      <w:pPr>
        <w:jc w:val="both"/>
      </w:pPr>
    </w:p>
    <w:p w14:paraId="3D52FD96" w14:textId="33D72A00" w:rsidR="003F79B7" w:rsidRDefault="003F79B7">
      <w:r>
        <w:br w:type="page"/>
      </w:r>
    </w:p>
    <w:p w14:paraId="607318EA" w14:textId="7842F218" w:rsidR="003F79B7" w:rsidRDefault="007B2D88" w:rsidP="00732E4D">
      <w:pPr>
        <w:jc w:val="both"/>
      </w:pPr>
      <w:r>
        <w:lastRenderedPageBreak/>
        <w:t>Análisis de Series de tiempo (M</w:t>
      </w:r>
      <w:r w:rsidRPr="007B2D88">
        <w:t>odelo de suavizamiento exponencial</w:t>
      </w:r>
      <w:r>
        <w:t xml:space="preserve"> – Modelo Holt-</w:t>
      </w:r>
      <w:proofErr w:type="spellStart"/>
      <w:r>
        <w:t>Winters</w:t>
      </w:r>
      <w:proofErr w:type="spellEnd"/>
      <w:r>
        <w:t xml:space="preserve">) puerto </w:t>
      </w:r>
      <w:r w:rsidRPr="007B2D88">
        <w:t>New York, NY</w:t>
      </w:r>
      <w:r>
        <w:t>.</w:t>
      </w:r>
    </w:p>
    <w:p w14:paraId="4ABD0D1E" w14:textId="77777777" w:rsidR="007B2D88" w:rsidRDefault="007B2D88" w:rsidP="00732E4D">
      <w:pPr>
        <w:jc w:val="both"/>
      </w:pPr>
    </w:p>
    <w:p w14:paraId="79827AD3" w14:textId="37A42459" w:rsidR="007B2D88" w:rsidRDefault="007B2D88" w:rsidP="00732E4D">
      <w:pPr>
        <w:jc w:val="both"/>
      </w:pPr>
      <w:r w:rsidRPr="007B2D88">
        <w:rPr>
          <w:noProof/>
        </w:rPr>
        <w:drawing>
          <wp:inline distT="0" distB="0" distL="0" distR="0" wp14:anchorId="2F1345AC" wp14:editId="049373A3">
            <wp:extent cx="5612130" cy="3385185"/>
            <wp:effectExtent l="0" t="0" r="7620" b="5715"/>
            <wp:docPr id="826471682"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71682" name="Picture 1" descr="A graph with blue and orange dots&#10;&#10;AI-generated content may be incorrect."/>
                    <pic:cNvPicPr/>
                  </pic:nvPicPr>
                  <pic:blipFill>
                    <a:blip r:embed="rId16"/>
                    <a:stretch>
                      <a:fillRect/>
                    </a:stretch>
                  </pic:blipFill>
                  <pic:spPr>
                    <a:xfrm>
                      <a:off x="0" y="0"/>
                      <a:ext cx="5612130" cy="3385185"/>
                    </a:xfrm>
                    <a:prstGeom prst="rect">
                      <a:avLst/>
                    </a:prstGeom>
                  </pic:spPr>
                </pic:pic>
              </a:graphicData>
            </a:graphic>
          </wp:inline>
        </w:drawing>
      </w:r>
    </w:p>
    <w:p w14:paraId="4BEAC189" w14:textId="6949E0CF" w:rsidR="007B2D88" w:rsidRDefault="007B2D88" w:rsidP="00732E4D">
      <w:pPr>
        <w:jc w:val="both"/>
      </w:pPr>
      <w:r w:rsidRPr="007B2D88">
        <w:t>La línea sólida representa los datos reales de importaciones desde el año 2000 hasta 2017</w:t>
      </w:r>
      <w:r>
        <w:t xml:space="preserve">. </w:t>
      </w:r>
      <w:r w:rsidRPr="007B2D88">
        <w:t>La línea punteada muestra el pronóstico de importaciones para 2018–2022</w:t>
      </w:r>
      <w:r>
        <w:t>.</w:t>
      </w:r>
    </w:p>
    <w:p w14:paraId="561C8A67" w14:textId="47EA00B7" w:rsidR="007B2D88" w:rsidRDefault="007B2D88" w:rsidP="00732E4D">
      <w:pPr>
        <w:jc w:val="both"/>
      </w:pPr>
      <w:r>
        <w:t>Es importante destaca</w:t>
      </w:r>
      <w:r w:rsidR="00D14776">
        <w:t>r</w:t>
      </w:r>
      <w:r>
        <w:t xml:space="preserve"> que en este caso el análisis se hizo sin estacionalidad ya que no observé una estacionalidad clara de manera visual en la serie de tiempo.</w:t>
      </w:r>
    </w:p>
    <w:tbl>
      <w:tblPr>
        <w:tblStyle w:val="GridTable7Colorful-Accent1"/>
        <w:tblW w:w="0" w:type="auto"/>
        <w:tblLook w:val="04A0" w:firstRow="1" w:lastRow="0" w:firstColumn="1" w:lastColumn="0" w:noHBand="0" w:noVBand="1"/>
      </w:tblPr>
      <w:tblGrid>
        <w:gridCol w:w="1129"/>
        <w:gridCol w:w="3071"/>
      </w:tblGrid>
      <w:tr w:rsidR="009B7911" w14:paraId="569F2D67" w14:textId="77777777" w:rsidTr="006F152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129" w:type="dxa"/>
          </w:tcPr>
          <w:p w14:paraId="41E950AA" w14:textId="77777777" w:rsidR="009B7911" w:rsidRDefault="009B7911" w:rsidP="006F1529">
            <w:r w:rsidRPr="000E0042">
              <w:rPr>
                <w:b w:val="0"/>
                <w:bCs w:val="0"/>
                <w:sz w:val="22"/>
                <w:szCs w:val="22"/>
              </w:rPr>
              <w:t>Año</w:t>
            </w:r>
          </w:p>
        </w:tc>
        <w:tc>
          <w:tcPr>
            <w:tcW w:w="3071" w:type="dxa"/>
          </w:tcPr>
          <w:p w14:paraId="2EC85630" w14:textId="77777777" w:rsidR="009B7911" w:rsidRPr="000E0042" w:rsidRDefault="009B7911" w:rsidP="006F1529">
            <w:pPr>
              <w:cnfStyle w:val="100000000000" w:firstRow="1" w:lastRow="0" w:firstColumn="0" w:lastColumn="0" w:oddVBand="0" w:evenVBand="0" w:oddHBand="0" w:evenHBand="0" w:firstRowFirstColumn="0" w:firstRowLastColumn="0" w:lastRowFirstColumn="0" w:lastRowLastColumn="0"/>
              <w:rPr>
                <w:b w:val="0"/>
                <w:bCs w:val="0"/>
              </w:rPr>
            </w:pPr>
            <w:r w:rsidRPr="000E0042">
              <w:rPr>
                <w:b w:val="0"/>
                <w:bCs w:val="0"/>
                <w:sz w:val="20"/>
                <w:szCs w:val="20"/>
              </w:rPr>
              <w:t>Importaciones estimadas (toneladas métricas)</w:t>
            </w:r>
          </w:p>
        </w:tc>
      </w:tr>
      <w:tr w:rsidR="009B7911" w14:paraId="6729968E"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339DAA93" w14:textId="77777777" w:rsidR="009B7911" w:rsidRDefault="009B7911" w:rsidP="006F1529">
            <w:r>
              <w:t>2018</w:t>
            </w:r>
          </w:p>
        </w:tc>
        <w:tc>
          <w:tcPr>
            <w:tcW w:w="3071" w:type="dxa"/>
          </w:tcPr>
          <w:p w14:paraId="42A5A14B" w14:textId="3B7EFD71" w:rsidR="009B7911" w:rsidRDefault="009B7911" w:rsidP="006F1529">
            <w:pPr>
              <w:cnfStyle w:val="000000100000" w:firstRow="0" w:lastRow="0" w:firstColumn="0" w:lastColumn="0" w:oddVBand="0" w:evenVBand="0" w:oddHBand="1" w:evenHBand="0" w:firstRowFirstColumn="0" w:firstRowLastColumn="0" w:lastRowFirstColumn="0" w:lastRowLastColumn="0"/>
            </w:pPr>
            <w:r w:rsidRPr="009B7911">
              <w:t>28</w:t>
            </w:r>
            <w:r>
              <w:t>,</w:t>
            </w:r>
            <w:r w:rsidRPr="009B7911">
              <w:t>162</w:t>
            </w:r>
            <w:r>
              <w:t>,</w:t>
            </w:r>
            <w:r w:rsidRPr="009B7911">
              <w:t>174</w:t>
            </w:r>
          </w:p>
        </w:tc>
      </w:tr>
      <w:tr w:rsidR="009B7911" w14:paraId="58A6A6B8" w14:textId="77777777" w:rsidTr="006F1529">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4181BD66" w14:textId="77777777" w:rsidR="009B7911" w:rsidRDefault="009B7911" w:rsidP="006F1529">
            <w:r>
              <w:t>2019</w:t>
            </w:r>
          </w:p>
        </w:tc>
        <w:tc>
          <w:tcPr>
            <w:tcW w:w="3071" w:type="dxa"/>
          </w:tcPr>
          <w:p w14:paraId="294BB68A" w14:textId="62ACF910" w:rsidR="009B7911" w:rsidRDefault="009B7911" w:rsidP="006F1529">
            <w:pPr>
              <w:cnfStyle w:val="000000000000" w:firstRow="0" w:lastRow="0" w:firstColumn="0" w:lastColumn="0" w:oddVBand="0" w:evenVBand="0" w:oddHBand="0" w:evenHBand="0" w:firstRowFirstColumn="0" w:firstRowLastColumn="0" w:lastRowFirstColumn="0" w:lastRowLastColumn="0"/>
            </w:pPr>
            <w:r w:rsidRPr="009B7911">
              <w:t>29</w:t>
            </w:r>
            <w:r>
              <w:t>,</w:t>
            </w:r>
            <w:r w:rsidRPr="009B7911">
              <w:t>073</w:t>
            </w:r>
            <w:r>
              <w:t>,</w:t>
            </w:r>
            <w:r w:rsidRPr="009B7911">
              <w:t>370</w:t>
            </w:r>
          </w:p>
        </w:tc>
      </w:tr>
      <w:tr w:rsidR="009B7911" w14:paraId="5C4F237D"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0C56D1D7" w14:textId="77777777" w:rsidR="009B7911" w:rsidRDefault="009B7911" w:rsidP="006F1529">
            <w:r>
              <w:t>2020</w:t>
            </w:r>
          </w:p>
        </w:tc>
        <w:tc>
          <w:tcPr>
            <w:tcW w:w="3071" w:type="dxa"/>
          </w:tcPr>
          <w:p w14:paraId="79BCD548" w14:textId="25053427" w:rsidR="009B7911" w:rsidRDefault="009B7911" w:rsidP="006F1529">
            <w:pPr>
              <w:cnfStyle w:val="000000100000" w:firstRow="0" w:lastRow="0" w:firstColumn="0" w:lastColumn="0" w:oddVBand="0" w:evenVBand="0" w:oddHBand="1" w:evenHBand="0" w:firstRowFirstColumn="0" w:firstRowLastColumn="0" w:lastRowFirstColumn="0" w:lastRowLastColumn="0"/>
            </w:pPr>
            <w:r w:rsidRPr="009B7911">
              <w:t>29</w:t>
            </w:r>
            <w:r>
              <w:t>,</w:t>
            </w:r>
            <w:r w:rsidRPr="009B7911">
              <w:t>984</w:t>
            </w:r>
            <w:r>
              <w:t>,</w:t>
            </w:r>
            <w:r w:rsidRPr="009B7911">
              <w:t>566</w:t>
            </w:r>
          </w:p>
        </w:tc>
      </w:tr>
      <w:tr w:rsidR="009B7911" w14:paraId="0CACE2E4" w14:textId="77777777" w:rsidTr="006F1529">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631167D2" w14:textId="77777777" w:rsidR="009B7911" w:rsidRDefault="009B7911" w:rsidP="006F1529">
            <w:r>
              <w:t>2021</w:t>
            </w:r>
          </w:p>
        </w:tc>
        <w:tc>
          <w:tcPr>
            <w:tcW w:w="3071" w:type="dxa"/>
          </w:tcPr>
          <w:p w14:paraId="2DC8D555" w14:textId="6C7DF67A" w:rsidR="009B7911" w:rsidRDefault="009B7911" w:rsidP="006F1529">
            <w:pPr>
              <w:cnfStyle w:val="000000000000" w:firstRow="0" w:lastRow="0" w:firstColumn="0" w:lastColumn="0" w:oddVBand="0" w:evenVBand="0" w:oddHBand="0" w:evenHBand="0" w:firstRowFirstColumn="0" w:firstRowLastColumn="0" w:lastRowFirstColumn="0" w:lastRowLastColumn="0"/>
            </w:pPr>
            <w:r w:rsidRPr="009B7911">
              <w:t>30</w:t>
            </w:r>
            <w:r>
              <w:t>,</w:t>
            </w:r>
            <w:r w:rsidRPr="009B7911">
              <w:t>895</w:t>
            </w:r>
            <w:r>
              <w:t>,</w:t>
            </w:r>
            <w:r w:rsidRPr="009B7911">
              <w:t>762</w:t>
            </w:r>
          </w:p>
        </w:tc>
      </w:tr>
      <w:tr w:rsidR="009B7911" w14:paraId="6EDEB9D3"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5F890377" w14:textId="77777777" w:rsidR="009B7911" w:rsidRDefault="009B7911" w:rsidP="006F1529">
            <w:r>
              <w:t>2022</w:t>
            </w:r>
          </w:p>
        </w:tc>
        <w:tc>
          <w:tcPr>
            <w:tcW w:w="3071" w:type="dxa"/>
          </w:tcPr>
          <w:p w14:paraId="2656E6BD" w14:textId="27BBEF70" w:rsidR="009B7911" w:rsidRDefault="009B7911" w:rsidP="006F1529">
            <w:pPr>
              <w:cnfStyle w:val="000000100000" w:firstRow="0" w:lastRow="0" w:firstColumn="0" w:lastColumn="0" w:oddVBand="0" w:evenVBand="0" w:oddHBand="1" w:evenHBand="0" w:firstRowFirstColumn="0" w:firstRowLastColumn="0" w:lastRowFirstColumn="0" w:lastRowLastColumn="0"/>
            </w:pPr>
            <w:r w:rsidRPr="009B7911">
              <w:t>31</w:t>
            </w:r>
            <w:r>
              <w:t>,</w:t>
            </w:r>
            <w:r w:rsidRPr="009B7911">
              <w:t>806</w:t>
            </w:r>
            <w:r>
              <w:t>,</w:t>
            </w:r>
            <w:r w:rsidRPr="009B7911">
              <w:t>958</w:t>
            </w:r>
          </w:p>
        </w:tc>
      </w:tr>
    </w:tbl>
    <w:p w14:paraId="09518BCB" w14:textId="3B53FC16" w:rsidR="002F70C0" w:rsidRDefault="002F70C0">
      <w:r>
        <w:br w:type="page"/>
      </w:r>
    </w:p>
    <w:p w14:paraId="1FFA9A75" w14:textId="200E0111" w:rsidR="007B2D88" w:rsidRDefault="002F70C0">
      <w:r>
        <w:lastRenderedPageBreak/>
        <w:t>Análisis de regresión con tendencia exponencial.</w:t>
      </w:r>
    </w:p>
    <w:p w14:paraId="07923AED" w14:textId="3DA067C5" w:rsidR="002F70C0" w:rsidRDefault="002F70C0">
      <w:r w:rsidRPr="002F70C0">
        <w:rPr>
          <w:noProof/>
        </w:rPr>
        <w:drawing>
          <wp:inline distT="0" distB="0" distL="0" distR="0" wp14:anchorId="4DB9CB14" wp14:editId="25D8C519">
            <wp:extent cx="5612130" cy="3402330"/>
            <wp:effectExtent l="0" t="0" r="7620" b="7620"/>
            <wp:docPr id="170674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9539" name=""/>
                    <pic:cNvPicPr/>
                  </pic:nvPicPr>
                  <pic:blipFill>
                    <a:blip r:embed="rId17"/>
                    <a:stretch>
                      <a:fillRect/>
                    </a:stretch>
                  </pic:blipFill>
                  <pic:spPr>
                    <a:xfrm>
                      <a:off x="0" y="0"/>
                      <a:ext cx="5612130" cy="3402330"/>
                    </a:xfrm>
                    <a:prstGeom prst="rect">
                      <a:avLst/>
                    </a:prstGeom>
                  </pic:spPr>
                </pic:pic>
              </a:graphicData>
            </a:graphic>
          </wp:inline>
        </w:drawing>
      </w:r>
    </w:p>
    <w:p w14:paraId="1FBEF330" w14:textId="138A2367" w:rsidR="002F70C0" w:rsidRDefault="000E0042">
      <w:pPr>
        <w:rPr>
          <w:rFonts w:eastAsiaTheme="minorEastAsia"/>
        </w:rPr>
      </w:pPr>
      <w:r>
        <w:t xml:space="preserve">En este análisis nuestro coeficiente de determinación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eastAsiaTheme="minorEastAsia"/>
        </w:rPr>
        <w:t xml:space="preserve"> = 0.884 lo que indica un 88.4% </w:t>
      </w:r>
      <w:r w:rsidRPr="000E0042">
        <w:rPr>
          <w:rFonts w:eastAsiaTheme="minorEastAsia"/>
        </w:rPr>
        <w:t>de la variabilidad en las importaciones se explica por este modelo exponencial. Es un ajuste bastante bueno para datos con crecimiento sostenido en el tiempo.</w:t>
      </w:r>
    </w:p>
    <w:p w14:paraId="15A84ADC" w14:textId="57B4FE7A" w:rsidR="000E0042" w:rsidRDefault="000E0042">
      <w:pPr>
        <w:rPr>
          <w:rFonts w:eastAsiaTheme="minorEastAsia"/>
        </w:rPr>
      </w:pPr>
      <w:r>
        <w:rPr>
          <w:rFonts w:eastAsiaTheme="minorEastAsia"/>
        </w:rPr>
        <w:t>Aquí tenemos los valores para las predicciones.</w:t>
      </w:r>
    </w:p>
    <w:tbl>
      <w:tblPr>
        <w:tblStyle w:val="GridTable7Colorful-Accent1"/>
        <w:tblW w:w="0" w:type="auto"/>
        <w:tblLook w:val="04A0" w:firstRow="1" w:lastRow="0" w:firstColumn="1" w:lastColumn="0" w:noHBand="0" w:noVBand="1"/>
      </w:tblPr>
      <w:tblGrid>
        <w:gridCol w:w="1129"/>
        <w:gridCol w:w="3071"/>
      </w:tblGrid>
      <w:tr w:rsidR="000E0042" w14:paraId="4A373774" w14:textId="77777777" w:rsidTr="000E0042">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129" w:type="dxa"/>
          </w:tcPr>
          <w:p w14:paraId="6DBFF1EA" w14:textId="14B35529" w:rsidR="000E0042" w:rsidRDefault="000E0042">
            <w:r w:rsidRPr="000E0042">
              <w:rPr>
                <w:b w:val="0"/>
                <w:bCs w:val="0"/>
                <w:sz w:val="22"/>
                <w:szCs w:val="22"/>
              </w:rPr>
              <w:t>Año</w:t>
            </w:r>
          </w:p>
        </w:tc>
        <w:tc>
          <w:tcPr>
            <w:tcW w:w="3071" w:type="dxa"/>
          </w:tcPr>
          <w:p w14:paraId="77B086FB" w14:textId="221CE639" w:rsidR="000E0042" w:rsidRPr="000E0042" w:rsidRDefault="000E0042">
            <w:pPr>
              <w:cnfStyle w:val="100000000000" w:firstRow="1" w:lastRow="0" w:firstColumn="0" w:lastColumn="0" w:oddVBand="0" w:evenVBand="0" w:oddHBand="0" w:evenHBand="0" w:firstRowFirstColumn="0" w:firstRowLastColumn="0" w:lastRowFirstColumn="0" w:lastRowLastColumn="0"/>
              <w:rPr>
                <w:b w:val="0"/>
                <w:bCs w:val="0"/>
              </w:rPr>
            </w:pPr>
            <w:r w:rsidRPr="000E0042">
              <w:rPr>
                <w:b w:val="0"/>
                <w:bCs w:val="0"/>
                <w:sz w:val="20"/>
                <w:szCs w:val="20"/>
              </w:rPr>
              <w:t>Importaciones estimadas (toneladas métricas)</w:t>
            </w:r>
          </w:p>
        </w:tc>
      </w:tr>
      <w:tr w:rsidR="000E0042" w14:paraId="43BB207D" w14:textId="77777777" w:rsidTr="000E004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4357491D" w14:textId="0959205E" w:rsidR="000E0042" w:rsidRDefault="000E0042">
            <w:r>
              <w:t>2018</w:t>
            </w:r>
          </w:p>
        </w:tc>
        <w:tc>
          <w:tcPr>
            <w:tcW w:w="3071" w:type="dxa"/>
          </w:tcPr>
          <w:p w14:paraId="069CAD90" w14:textId="18E7EFFB" w:rsidR="000E0042" w:rsidRDefault="000E0042">
            <w:pPr>
              <w:cnfStyle w:val="000000100000" w:firstRow="0" w:lastRow="0" w:firstColumn="0" w:lastColumn="0" w:oddVBand="0" w:evenVBand="0" w:oddHBand="1" w:evenHBand="0" w:firstRowFirstColumn="0" w:firstRowLastColumn="0" w:lastRowFirstColumn="0" w:lastRowLastColumn="0"/>
            </w:pPr>
            <w:r w:rsidRPr="000E0042">
              <w:t>28,560,321</w:t>
            </w:r>
          </w:p>
        </w:tc>
      </w:tr>
      <w:tr w:rsidR="000E0042" w14:paraId="4BBF6ECF" w14:textId="77777777" w:rsidTr="000E0042">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7CDA3792" w14:textId="1E0E9E6B" w:rsidR="000E0042" w:rsidRDefault="000E0042">
            <w:r>
              <w:t>2019</w:t>
            </w:r>
          </w:p>
        </w:tc>
        <w:tc>
          <w:tcPr>
            <w:tcW w:w="3071" w:type="dxa"/>
          </w:tcPr>
          <w:p w14:paraId="5A92C5E9" w14:textId="5F976B4A" w:rsidR="000E0042" w:rsidRDefault="000E0042">
            <w:pPr>
              <w:cnfStyle w:val="000000000000" w:firstRow="0" w:lastRow="0" w:firstColumn="0" w:lastColumn="0" w:oddVBand="0" w:evenVBand="0" w:oddHBand="0" w:evenHBand="0" w:firstRowFirstColumn="0" w:firstRowLastColumn="0" w:lastRowFirstColumn="0" w:lastRowLastColumn="0"/>
            </w:pPr>
            <w:r w:rsidRPr="000E0042">
              <w:t>29,701,150</w:t>
            </w:r>
          </w:p>
        </w:tc>
      </w:tr>
      <w:tr w:rsidR="000E0042" w14:paraId="6BA8AB8E" w14:textId="77777777" w:rsidTr="000E004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0A0ADC03" w14:textId="27FE79FA" w:rsidR="000E0042" w:rsidRDefault="000E0042">
            <w:r>
              <w:t>2020</w:t>
            </w:r>
          </w:p>
        </w:tc>
        <w:tc>
          <w:tcPr>
            <w:tcW w:w="3071" w:type="dxa"/>
          </w:tcPr>
          <w:p w14:paraId="5DA70647" w14:textId="005AA0EB" w:rsidR="000E0042" w:rsidRDefault="000E0042">
            <w:pPr>
              <w:cnfStyle w:val="000000100000" w:firstRow="0" w:lastRow="0" w:firstColumn="0" w:lastColumn="0" w:oddVBand="0" w:evenVBand="0" w:oddHBand="1" w:evenHBand="0" w:firstRowFirstColumn="0" w:firstRowLastColumn="0" w:lastRowFirstColumn="0" w:lastRowLastColumn="0"/>
            </w:pPr>
            <w:r w:rsidRPr="000E0042">
              <w:t>30,887,549</w:t>
            </w:r>
          </w:p>
        </w:tc>
      </w:tr>
      <w:tr w:rsidR="000E0042" w14:paraId="41CBB56F" w14:textId="77777777" w:rsidTr="000E0042">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40CA57A7" w14:textId="19CB6656" w:rsidR="000E0042" w:rsidRDefault="000E0042">
            <w:r>
              <w:t>2021</w:t>
            </w:r>
          </w:p>
        </w:tc>
        <w:tc>
          <w:tcPr>
            <w:tcW w:w="3071" w:type="dxa"/>
          </w:tcPr>
          <w:p w14:paraId="2D917F41" w14:textId="66D647F3" w:rsidR="000E0042" w:rsidRDefault="000E0042">
            <w:pPr>
              <w:cnfStyle w:val="000000000000" w:firstRow="0" w:lastRow="0" w:firstColumn="0" w:lastColumn="0" w:oddVBand="0" w:evenVBand="0" w:oddHBand="0" w:evenHBand="0" w:firstRowFirstColumn="0" w:firstRowLastColumn="0" w:lastRowFirstColumn="0" w:lastRowLastColumn="0"/>
            </w:pPr>
            <w:r w:rsidRPr="000E0042">
              <w:t>32,121,338</w:t>
            </w:r>
          </w:p>
        </w:tc>
      </w:tr>
      <w:tr w:rsidR="000E0042" w14:paraId="09758249" w14:textId="77777777" w:rsidTr="000E0042">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3EFC2E7A" w14:textId="54099208" w:rsidR="000E0042" w:rsidRDefault="000E0042">
            <w:r>
              <w:t>2022</w:t>
            </w:r>
          </w:p>
        </w:tc>
        <w:tc>
          <w:tcPr>
            <w:tcW w:w="3071" w:type="dxa"/>
          </w:tcPr>
          <w:p w14:paraId="6B8FDF46" w14:textId="2125ED0A" w:rsidR="000E0042" w:rsidRDefault="000E0042">
            <w:pPr>
              <w:cnfStyle w:val="000000100000" w:firstRow="0" w:lastRow="0" w:firstColumn="0" w:lastColumn="0" w:oddVBand="0" w:evenVBand="0" w:oddHBand="1" w:evenHBand="0" w:firstRowFirstColumn="0" w:firstRowLastColumn="0" w:lastRowFirstColumn="0" w:lastRowLastColumn="0"/>
            </w:pPr>
            <w:r w:rsidRPr="000E0042">
              <w:t>33,404,411</w:t>
            </w:r>
          </w:p>
        </w:tc>
      </w:tr>
    </w:tbl>
    <w:p w14:paraId="161D9B65" w14:textId="77777777" w:rsidR="000E0042" w:rsidRDefault="000E0042"/>
    <w:p w14:paraId="08584658" w14:textId="3D8F4049" w:rsidR="00C7239F" w:rsidRDefault="00C7239F">
      <w:r>
        <w:br w:type="page"/>
      </w:r>
    </w:p>
    <w:p w14:paraId="38C5913D" w14:textId="77777777" w:rsidR="00C7239F" w:rsidRPr="00C7239F" w:rsidRDefault="00C7239F" w:rsidP="00C7239F">
      <w:r>
        <w:lastRenderedPageBreak/>
        <w:t>Análisis de Series de tiempo (M</w:t>
      </w:r>
      <w:r w:rsidRPr="007B2D88">
        <w:t>odelo de suavizamiento exponencial</w:t>
      </w:r>
      <w:r>
        <w:t xml:space="preserve"> – Modelo Holt-</w:t>
      </w:r>
      <w:proofErr w:type="spellStart"/>
      <w:r>
        <w:t>Winters</w:t>
      </w:r>
      <w:proofErr w:type="spellEnd"/>
      <w:r>
        <w:t xml:space="preserve">) puerto </w:t>
      </w:r>
      <w:r w:rsidRPr="00C7239F">
        <w:t>Charleston, SC</w:t>
      </w:r>
    </w:p>
    <w:p w14:paraId="3BA211B4" w14:textId="75093479" w:rsidR="00C7239F" w:rsidRDefault="00C7239F">
      <w:r w:rsidRPr="00C7239F">
        <w:drawing>
          <wp:inline distT="0" distB="0" distL="0" distR="0" wp14:anchorId="7D2F0362" wp14:editId="472689B7">
            <wp:extent cx="5612130" cy="3361690"/>
            <wp:effectExtent l="0" t="0" r="7620" b="0"/>
            <wp:docPr id="176367670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76708" name="Picture 1" descr="A graph with blue and orange lines&#10;&#10;AI-generated content may be incorrect."/>
                    <pic:cNvPicPr/>
                  </pic:nvPicPr>
                  <pic:blipFill>
                    <a:blip r:embed="rId18"/>
                    <a:stretch>
                      <a:fillRect/>
                    </a:stretch>
                  </pic:blipFill>
                  <pic:spPr>
                    <a:xfrm>
                      <a:off x="0" y="0"/>
                      <a:ext cx="5612130" cy="3361690"/>
                    </a:xfrm>
                    <a:prstGeom prst="rect">
                      <a:avLst/>
                    </a:prstGeom>
                  </pic:spPr>
                </pic:pic>
              </a:graphicData>
            </a:graphic>
          </wp:inline>
        </w:drawing>
      </w:r>
    </w:p>
    <w:p w14:paraId="06F0C7DB" w14:textId="77777777" w:rsidR="00C7239F" w:rsidRDefault="00C7239F">
      <w:r>
        <w:t>Con este modelo utilizamos una tendencia de adición con un modelo de estacionalidad de multiplicación y una periodicidad de 5.</w:t>
      </w:r>
    </w:p>
    <w:p w14:paraId="528969B0" w14:textId="77777777" w:rsidR="00C7239F" w:rsidRDefault="00C7239F" w:rsidP="00C7239F">
      <w:pPr>
        <w:rPr>
          <w:rFonts w:eastAsiaTheme="minorEastAsia"/>
        </w:rPr>
      </w:pPr>
      <w:r>
        <w:rPr>
          <w:rFonts w:eastAsiaTheme="minorEastAsia"/>
        </w:rPr>
        <w:t>Aquí tenemos los valores para las predicciones.</w:t>
      </w:r>
    </w:p>
    <w:tbl>
      <w:tblPr>
        <w:tblStyle w:val="GridTable7Colorful-Accent1"/>
        <w:tblW w:w="0" w:type="auto"/>
        <w:tblLook w:val="04A0" w:firstRow="1" w:lastRow="0" w:firstColumn="1" w:lastColumn="0" w:noHBand="0" w:noVBand="1"/>
      </w:tblPr>
      <w:tblGrid>
        <w:gridCol w:w="1129"/>
        <w:gridCol w:w="3071"/>
      </w:tblGrid>
      <w:tr w:rsidR="00C7239F" w14:paraId="5080863F" w14:textId="77777777" w:rsidTr="006F152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129" w:type="dxa"/>
          </w:tcPr>
          <w:p w14:paraId="7CA86597" w14:textId="77777777" w:rsidR="00C7239F" w:rsidRDefault="00C7239F" w:rsidP="006F1529">
            <w:r w:rsidRPr="000E0042">
              <w:rPr>
                <w:b w:val="0"/>
                <w:bCs w:val="0"/>
                <w:sz w:val="22"/>
                <w:szCs w:val="22"/>
              </w:rPr>
              <w:t>Año</w:t>
            </w:r>
          </w:p>
        </w:tc>
        <w:tc>
          <w:tcPr>
            <w:tcW w:w="3071" w:type="dxa"/>
          </w:tcPr>
          <w:p w14:paraId="634E5E32" w14:textId="77777777" w:rsidR="00C7239F" w:rsidRPr="000E0042" w:rsidRDefault="00C7239F" w:rsidP="006F1529">
            <w:pPr>
              <w:cnfStyle w:val="100000000000" w:firstRow="1" w:lastRow="0" w:firstColumn="0" w:lastColumn="0" w:oddVBand="0" w:evenVBand="0" w:oddHBand="0" w:evenHBand="0" w:firstRowFirstColumn="0" w:firstRowLastColumn="0" w:lastRowFirstColumn="0" w:lastRowLastColumn="0"/>
              <w:rPr>
                <w:b w:val="0"/>
                <w:bCs w:val="0"/>
              </w:rPr>
            </w:pPr>
            <w:r w:rsidRPr="000E0042">
              <w:rPr>
                <w:b w:val="0"/>
                <w:bCs w:val="0"/>
                <w:sz w:val="20"/>
                <w:szCs w:val="20"/>
              </w:rPr>
              <w:t>Importaciones estimadas (toneladas métricas)</w:t>
            </w:r>
          </w:p>
        </w:tc>
      </w:tr>
      <w:tr w:rsidR="00C7239F" w14:paraId="1CBDF000"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6DAAEFCF" w14:textId="77777777" w:rsidR="00C7239F" w:rsidRDefault="00C7239F" w:rsidP="006F1529">
            <w:r>
              <w:t>2018</w:t>
            </w:r>
          </w:p>
        </w:tc>
        <w:tc>
          <w:tcPr>
            <w:tcW w:w="3071" w:type="dxa"/>
          </w:tcPr>
          <w:p w14:paraId="51BEB8A2" w14:textId="52988461" w:rsidR="00C7239F" w:rsidRDefault="00C7239F" w:rsidP="006F1529">
            <w:pPr>
              <w:cnfStyle w:val="000000100000" w:firstRow="0" w:lastRow="0" w:firstColumn="0" w:lastColumn="0" w:oddVBand="0" w:evenVBand="0" w:oddHBand="1" w:evenHBand="0" w:firstRowFirstColumn="0" w:firstRowLastColumn="0" w:lastRowFirstColumn="0" w:lastRowLastColumn="0"/>
            </w:pPr>
            <w:r w:rsidRPr="00C7239F">
              <w:t>7,401,470</w:t>
            </w:r>
          </w:p>
        </w:tc>
      </w:tr>
      <w:tr w:rsidR="00C7239F" w14:paraId="177C078A" w14:textId="77777777" w:rsidTr="006F1529">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3DACFEFA" w14:textId="77777777" w:rsidR="00C7239F" w:rsidRDefault="00C7239F" w:rsidP="006F1529">
            <w:r>
              <w:t>2019</w:t>
            </w:r>
          </w:p>
        </w:tc>
        <w:tc>
          <w:tcPr>
            <w:tcW w:w="3071" w:type="dxa"/>
          </w:tcPr>
          <w:p w14:paraId="30BE8188" w14:textId="2064F6A8" w:rsidR="00C7239F" w:rsidRDefault="00C7239F" w:rsidP="006F1529">
            <w:pPr>
              <w:cnfStyle w:val="000000000000" w:firstRow="0" w:lastRow="0" w:firstColumn="0" w:lastColumn="0" w:oddVBand="0" w:evenVBand="0" w:oddHBand="0" w:evenHBand="0" w:firstRowFirstColumn="0" w:firstRowLastColumn="0" w:lastRowFirstColumn="0" w:lastRowLastColumn="0"/>
            </w:pPr>
            <w:r w:rsidRPr="00C7239F">
              <w:t>7,040,239</w:t>
            </w:r>
          </w:p>
        </w:tc>
      </w:tr>
      <w:tr w:rsidR="00C7239F" w14:paraId="4EFE0F9D"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0C39F767" w14:textId="77777777" w:rsidR="00C7239F" w:rsidRDefault="00C7239F" w:rsidP="006F1529">
            <w:r>
              <w:t>2020</w:t>
            </w:r>
          </w:p>
        </w:tc>
        <w:tc>
          <w:tcPr>
            <w:tcW w:w="3071" w:type="dxa"/>
          </w:tcPr>
          <w:p w14:paraId="26D4DBB9" w14:textId="7350A812" w:rsidR="00C7239F" w:rsidRDefault="00C7239F" w:rsidP="006F1529">
            <w:pPr>
              <w:cnfStyle w:val="000000100000" w:firstRow="0" w:lastRow="0" w:firstColumn="0" w:lastColumn="0" w:oddVBand="0" w:evenVBand="0" w:oddHBand="1" w:evenHBand="0" w:firstRowFirstColumn="0" w:firstRowLastColumn="0" w:lastRowFirstColumn="0" w:lastRowLastColumn="0"/>
            </w:pPr>
            <w:r w:rsidRPr="00C7239F">
              <w:t>7,784,962</w:t>
            </w:r>
          </w:p>
        </w:tc>
      </w:tr>
      <w:tr w:rsidR="00C7239F" w14:paraId="604C33F4" w14:textId="77777777" w:rsidTr="006F1529">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03A9D7D9" w14:textId="77777777" w:rsidR="00C7239F" w:rsidRDefault="00C7239F" w:rsidP="006F1529">
            <w:r>
              <w:t>2021</w:t>
            </w:r>
          </w:p>
        </w:tc>
        <w:tc>
          <w:tcPr>
            <w:tcW w:w="3071" w:type="dxa"/>
          </w:tcPr>
          <w:p w14:paraId="25CA6332" w14:textId="165ECC06" w:rsidR="00C7239F" w:rsidRDefault="00C7239F" w:rsidP="006F1529">
            <w:pPr>
              <w:cnfStyle w:val="000000000000" w:firstRow="0" w:lastRow="0" w:firstColumn="0" w:lastColumn="0" w:oddVBand="0" w:evenVBand="0" w:oddHBand="0" w:evenHBand="0" w:firstRowFirstColumn="0" w:firstRowLastColumn="0" w:lastRowFirstColumn="0" w:lastRowLastColumn="0"/>
            </w:pPr>
            <w:r w:rsidRPr="00C7239F">
              <w:t>8,060,011</w:t>
            </w:r>
          </w:p>
        </w:tc>
      </w:tr>
      <w:tr w:rsidR="00C7239F" w14:paraId="5899756B"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6671F9B8" w14:textId="77777777" w:rsidR="00C7239F" w:rsidRDefault="00C7239F" w:rsidP="006F1529">
            <w:r>
              <w:t>2022</w:t>
            </w:r>
          </w:p>
        </w:tc>
        <w:tc>
          <w:tcPr>
            <w:tcW w:w="3071" w:type="dxa"/>
          </w:tcPr>
          <w:p w14:paraId="3D85FF21" w14:textId="70E60C16" w:rsidR="00C7239F" w:rsidRDefault="00C7239F" w:rsidP="006F1529">
            <w:pPr>
              <w:cnfStyle w:val="000000100000" w:firstRow="0" w:lastRow="0" w:firstColumn="0" w:lastColumn="0" w:oddVBand="0" w:evenVBand="0" w:oddHBand="1" w:evenHBand="0" w:firstRowFirstColumn="0" w:firstRowLastColumn="0" w:lastRowFirstColumn="0" w:lastRowLastColumn="0"/>
            </w:pPr>
            <w:r w:rsidRPr="00C7239F">
              <w:t>7,814,293</w:t>
            </w:r>
          </w:p>
        </w:tc>
      </w:tr>
    </w:tbl>
    <w:p w14:paraId="438CC992" w14:textId="0A0918E1" w:rsidR="00210BEC" w:rsidRDefault="00210BEC" w:rsidP="00A02551"/>
    <w:p w14:paraId="1A0C220E" w14:textId="77777777" w:rsidR="00210BEC" w:rsidRDefault="00210BEC">
      <w:r>
        <w:br w:type="page"/>
      </w:r>
    </w:p>
    <w:p w14:paraId="52DCC76A" w14:textId="77777777" w:rsidR="003C34A4" w:rsidRPr="003C34A4" w:rsidRDefault="003C34A4" w:rsidP="003C34A4">
      <w:r>
        <w:lastRenderedPageBreak/>
        <w:t>Análisis de regresión con tendencia exponencial</w:t>
      </w:r>
      <w:r>
        <w:t xml:space="preserve"> para el puerto </w:t>
      </w:r>
      <w:r w:rsidRPr="003C34A4">
        <w:t>Savannah, GA</w:t>
      </w:r>
    </w:p>
    <w:p w14:paraId="0DE7A09B" w14:textId="6DC764B6" w:rsidR="007B2D88" w:rsidRDefault="003C34A4" w:rsidP="00A02551">
      <w:r w:rsidRPr="003C34A4">
        <w:drawing>
          <wp:inline distT="0" distB="0" distL="0" distR="0" wp14:anchorId="156F8472" wp14:editId="61097076">
            <wp:extent cx="5612130" cy="3359785"/>
            <wp:effectExtent l="0" t="0" r="7620" b="0"/>
            <wp:docPr id="53397034"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7034" name="Picture 1" descr="A graph with blue and orange lines&#10;&#10;AI-generated content may be incorrect."/>
                    <pic:cNvPicPr/>
                  </pic:nvPicPr>
                  <pic:blipFill>
                    <a:blip r:embed="rId19"/>
                    <a:stretch>
                      <a:fillRect/>
                    </a:stretch>
                  </pic:blipFill>
                  <pic:spPr>
                    <a:xfrm>
                      <a:off x="0" y="0"/>
                      <a:ext cx="5612130" cy="3359785"/>
                    </a:xfrm>
                    <a:prstGeom prst="rect">
                      <a:avLst/>
                    </a:prstGeom>
                  </pic:spPr>
                </pic:pic>
              </a:graphicData>
            </a:graphic>
          </wp:inline>
        </w:drawing>
      </w:r>
    </w:p>
    <w:p w14:paraId="39D817C4" w14:textId="4F75C906" w:rsidR="003C34A4" w:rsidRDefault="003C34A4" w:rsidP="00A02551">
      <w:r>
        <w:t>En este modelo tuvimos un desempeño muy bueno con un coeficiente de correlación de 94.36%.</w:t>
      </w:r>
    </w:p>
    <w:p w14:paraId="47BCF5E3" w14:textId="44927257" w:rsidR="003C34A4" w:rsidRDefault="003C34A4" w:rsidP="00A02551">
      <w:r>
        <w:t>Dando como resultado la siguiente tabla de predicciones.</w:t>
      </w:r>
    </w:p>
    <w:tbl>
      <w:tblPr>
        <w:tblStyle w:val="GridTable7Colorful-Accent1"/>
        <w:tblW w:w="0" w:type="auto"/>
        <w:tblLook w:val="04A0" w:firstRow="1" w:lastRow="0" w:firstColumn="1" w:lastColumn="0" w:noHBand="0" w:noVBand="1"/>
      </w:tblPr>
      <w:tblGrid>
        <w:gridCol w:w="1129"/>
        <w:gridCol w:w="3071"/>
      </w:tblGrid>
      <w:tr w:rsidR="003C34A4" w14:paraId="6FC68282" w14:textId="77777777" w:rsidTr="006F1529">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129" w:type="dxa"/>
          </w:tcPr>
          <w:p w14:paraId="72FB2C45" w14:textId="77777777" w:rsidR="003C34A4" w:rsidRDefault="003C34A4" w:rsidP="006F1529">
            <w:r w:rsidRPr="000E0042">
              <w:rPr>
                <w:b w:val="0"/>
                <w:bCs w:val="0"/>
                <w:sz w:val="22"/>
                <w:szCs w:val="22"/>
              </w:rPr>
              <w:t>Año</w:t>
            </w:r>
          </w:p>
        </w:tc>
        <w:tc>
          <w:tcPr>
            <w:tcW w:w="3071" w:type="dxa"/>
          </w:tcPr>
          <w:p w14:paraId="28DE35E6" w14:textId="77777777" w:rsidR="003C34A4" w:rsidRPr="000E0042" w:rsidRDefault="003C34A4" w:rsidP="006F1529">
            <w:pPr>
              <w:cnfStyle w:val="100000000000" w:firstRow="1" w:lastRow="0" w:firstColumn="0" w:lastColumn="0" w:oddVBand="0" w:evenVBand="0" w:oddHBand="0" w:evenHBand="0" w:firstRowFirstColumn="0" w:firstRowLastColumn="0" w:lastRowFirstColumn="0" w:lastRowLastColumn="0"/>
              <w:rPr>
                <w:b w:val="0"/>
                <w:bCs w:val="0"/>
              </w:rPr>
            </w:pPr>
            <w:r w:rsidRPr="000E0042">
              <w:rPr>
                <w:b w:val="0"/>
                <w:bCs w:val="0"/>
                <w:sz w:val="20"/>
                <w:szCs w:val="20"/>
              </w:rPr>
              <w:t>Importaciones estimadas (toneladas métricas)</w:t>
            </w:r>
          </w:p>
        </w:tc>
      </w:tr>
      <w:tr w:rsidR="003C34A4" w14:paraId="517F5454"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2D8999C8" w14:textId="77777777" w:rsidR="003C34A4" w:rsidRDefault="003C34A4" w:rsidP="006F1529">
            <w:r>
              <w:t>2018</w:t>
            </w:r>
          </w:p>
        </w:tc>
        <w:tc>
          <w:tcPr>
            <w:tcW w:w="3071" w:type="dxa"/>
          </w:tcPr>
          <w:p w14:paraId="12DD5E82" w14:textId="1A2EDB11" w:rsidR="003C34A4" w:rsidRDefault="003C34A4" w:rsidP="006F1529">
            <w:pPr>
              <w:cnfStyle w:val="000000100000" w:firstRow="0" w:lastRow="0" w:firstColumn="0" w:lastColumn="0" w:oddVBand="0" w:evenVBand="0" w:oddHBand="1" w:evenHBand="0" w:firstRowFirstColumn="0" w:firstRowLastColumn="0" w:lastRowFirstColumn="0" w:lastRowLastColumn="0"/>
            </w:pPr>
            <w:r w:rsidRPr="003C34A4">
              <w:t>1</w:t>
            </w:r>
            <w:r>
              <w:t>,</w:t>
            </w:r>
            <w:r w:rsidRPr="003C34A4">
              <w:t>445</w:t>
            </w:r>
            <w:r>
              <w:t>,</w:t>
            </w:r>
            <w:r w:rsidRPr="003C34A4">
              <w:t>465</w:t>
            </w:r>
          </w:p>
        </w:tc>
      </w:tr>
      <w:tr w:rsidR="003C34A4" w14:paraId="17B4F21B" w14:textId="77777777" w:rsidTr="006F1529">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1CD2EFB6" w14:textId="77777777" w:rsidR="003C34A4" w:rsidRDefault="003C34A4" w:rsidP="006F1529">
            <w:r>
              <w:t>2019</w:t>
            </w:r>
          </w:p>
        </w:tc>
        <w:tc>
          <w:tcPr>
            <w:tcW w:w="3071" w:type="dxa"/>
          </w:tcPr>
          <w:p w14:paraId="6342E0BF" w14:textId="4704297D" w:rsidR="003C34A4" w:rsidRDefault="003C34A4" w:rsidP="006F1529">
            <w:pPr>
              <w:cnfStyle w:val="000000000000" w:firstRow="0" w:lastRow="0" w:firstColumn="0" w:lastColumn="0" w:oddVBand="0" w:evenVBand="0" w:oddHBand="0" w:evenHBand="0" w:firstRowFirstColumn="0" w:firstRowLastColumn="0" w:lastRowFirstColumn="0" w:lastRowLastColumn="0"/>
            </w:pPr>
            <w:r w:rsidRPr="003C34A4">
              <w:t>1</w:t>
            </w:r>
            <w:r>
              <w:t>,</w:t>
            </w:r>
            <w:r w:rsidRPr="003C34A4">
              <w:t>571</w:t>
            </w:r>
            <w:r>
              <w:t>,</w:t>
            </w:r>
            <w:r w:rsidRPr="003C34A4">
              <w:t>381</w:t>
            </w:r>
          </w:p>
        </w:tc>
      </w:tr>
      <w:tr w:rsidR="003C34A4" w14:paraId="2030CD0E"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13B8ACCF" w14:textId="77777777" w:rsidR="003C34A4" w:rsidRDefault="003C34A4" w:rsidP="006F1529">
            <w:r>
              <w:t>2020</w:t>
            </w:r>
          </w:p>
        </w:tc>
        <w:tc>
          <w:tcPr>
            <w:tcW w:w="3071" w:type="dxa"/>
          </w:tcPr>
          <w:p w14:paraId="2ECA411D" w14:textId="579E2DD1" w:rsidR="003C34A4" w:rsidRDefault="003C34A4" w:rsidP="006F1529">
            <w:pPr>
              <w:cnfStyle w:val="000000100000" w:firstRow="0" w:lastRow="0" w:firstColumn="0" w:lastColumn="0" w:oddVBand="0" w:evenVBand="0" w:oddHBand="1" w:evenHBand="0" w:firstRowFirstColumn="0" w:firstRowLastColumn="0" w:lastRowFirstColumn="0" w:lastRowLastColumn="0"/>
            </w:pPr>
            <w:r w:rsidRPr="003C34A4">
              <w:t>1</w:t>
            </w:r>
            <w:r>
              <w:t>,</w:t>
            </w:r>
            <w:r w:rsidRPr="003C34A4">
              <w:t>708</w:t>
            </w:r>
            <w:r>
              <w:t>,</w:t>
            </w:r>
            <w:r w:rsidRPr="003C34A4">
              <w:t>266</w:t>
            </w:r>
          </w:p>
        </w:tc>
      </w:tr>
      <w:tr w:rsidR="003C34A4" w14:paraId="1F069231" w14:textId="77777777" w:rsidTr="006F1529">
        <w:trPr>
          <w:trHeight w:val="311"/>
        </w:trPr>
        <w:tc>
          <w:tcPr>
            <w:cnfStyle w:val="001000000000" w:firstRow="0" w:lastRow="0" w:firstColumn="1" w:lastColumn="0" w:oddVBand="0" w:evenVBand="0" w:oddHBand="0" w:evenHBand="0" w:firstRowFirstColumn="0" w:firstRowLastColumn="0" w:lastRowFirstColumn="0" w:lastRowLastColumn="0"/>
            <w:tcW w:w="1129" w:type="dxa"/>
          </w:tcPr>
          <w:p w14:paraId="0B374B8F" w14:textId="77777777" w:rsidR="003C34A4" w:rsidRDefault="003C34A4" w:rsidP="006F1529">
            <w:r>
              <w:t>2021</w:t>
            </w:r>
          </w:p>
        </w:tc>
        <w:tc>
          <w:tcPr>
            <w:tcW w:w="3071" w:type="dxa"/>
          </w:tcPr>
          <w:p w14:paraId="635A6CA3" w14:textId="6F5E8187" w:rsidR="003C34A4" w:rsidRDefault="003C34A4" w:rsidP="006F1529">
            <w:pPr>
              <w:cnfStyle w:val="000000000000" w:firstRow="0" w:lastRow="0" w:firstColumn="0" w:lastColumn="0" w:oddVBand="0" w:evenVBand="0" w:oddHBand="0" w:evenHBand="0" w:firstRowFirstColumn="0" w:firstRowLastColumn="0" w:lastRowFirstColumn="0" w:lastRowLastColumn="0"/>
            </w:pPr>
            <w:r w:rsidRPr="003C34A4">
              <w:t>1</w:t>
            </w:r>
            <w:r>
              <w:t>,</w:t>
            </w:r>
            <w:r w:rsidRPr="003C34A4">
              <w:t>857</w:t>
            </w:r>
            <w:r>
              <w:t>,</w:t>
            </w:r>
            <w:r w:rsidRPr="003C34A4">
              <w:t>076</w:t>
            </w:r>
          </w:p>
        </w:tc>
      </w:tr>
      <w:tr w:rsidR="003C34A4" w14:paraId="4E7203D5" w14:textId="77777777" w:rsidTr="006F1529">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129" w:type="dxa"/>
          </w:tcPr>
          <w:p w14:paraId="5A2327A2" w14:textId="77777777" w:rsidR="003C34A4" w:rsidRDefault="003C34A4" w:rsidP="006F1529">
            <w:r>
              <w:t>2022</w:t>
            </w:r>
          </w:p>
        </w:tc>
        <w:tc>
          <w:tcPr>
            <w:tcW w:w="3071" w:type="dxa"/>
          </w:tcPr>
          <w:p w14:paraId="11B456C8" w14:textId="28B5FF65" w:rsidR="003C34A4" w:rsidRDefault="003C34A4" w:rsidP="006F1529">
            <w:pPr>
              <w:cnfStyle w:val="000000100000" w:firstRow="0" w:lastRow="0" w:firstColumn="0" w:lastColumn="0" w:oddVBand="0" w:evenVBand="0" w:oddHBand="1" w:evenHBand="0" w:firstRowFirstColumn="0" w:firstRowLastColumn="0" w:lastRowFirstColumn="0" w:lastRowLastColumn="0"/>
            </w:pPr>
            <w:r w:rsidRPr="003C34A4">
              <w:t>2</w:t>
            </w:r>
            <w:r>
              <w:t>,</w:t>
            </w:r>
            <w:r w:rsidRPr="003C34A4">
              <w:t>018</w:t>
            </w:r>
            <w:r>
              <w:t>,</w:t>
            </w:r>
            <w:r w:rsidRPr="003C34A4">
              <w:t>848</w:t>
            </w:r>
          </w:p>
        </w:tc>
      </w:tr>
    </w:tbl>
    <w:p w14:paraId="4FE6AE5E" w14:textId="77777777" w:rsidR="003C34A4" w:rsidRDefault="003C34A4" w:rsidP="00A02551"/>
    <w:sectPr w:rsidR="003C34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278DA"/>
    <w:multiLevelType w:val="hybridMultilevel"/>
    <w:tmpl w:val="3258B126"/>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11255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A7"/>
    <w:rsid w:val="00055434"/>
    <w:rsid w:val="000764F8"/>
    <w:rsid w:val="000E0042"/>
    <w:rsid w:val="00190F18"/>
    <w:rsid w:val="00201234"/>
    <w:rsid w:val="00210BEC"/>
    <w:rsid w:val="0024033D"/>
    <w:rsid w:val="002F70C0"/>
    <w:rsid w:val="00366775"/>
    <w:rsid w:val="00383415"/>
    <w:rsid w:val="003834B4"/>
    <w:rsid w:val="00386CAF"/>
    <w:rsid w:val="003C34A4"/>
    <w:rsid w:val="003D1F58"/>
    <w:rsid w:val="003D7664"/>
    <w:rsid w:val="003F79B7"/>
    <w:rsid w:val="00477698"/>
    <w:rsid w:val="004A3CEF"/>
    <w:rsid w:val="005A7180"/>
    <w:rsid w:val="005D2B22"/>
    <w:rsid w:val="00732E4D"/>
    <w:rsid w:val="007B2D88"/>
    <w:rsid w:val="007F75A7"/>
    <w:rsid w:val="00844E78"/>
    <w:rsid w:val="00890025"/>
    <w:rsid w:val="00940F7F"/>
    <w:rsid w:val="00946ABB"/>
    <w:rsid w:val="009B7911"/>
    <w:rsid w:val="00A02551"/>
    <w:rsid w:val="00A62E98"/>
    <w:rsid w:val="00B61E75"/>
    <w:rsid w:val="00BE2140"/>
    <w:rsid w:val="00C06AF3"/>
    <w:rsid w:val="00C226DD"/>
    <w:rsid w:val="00C63921"/>
    <w:rsid w:val="00C7239F"/>
    <w:rsid w:val="00D14776"/>
    <w:rsid w:val="00D439C8"/>
    <w:rsid w:val="00E72E30"/>
    <w:rsid w:val="00F333F7"/>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ECC71"/>
  <w15:chartTrackingRefBased/>
  <w15:docId w15:val="{FE512237-CE15-45E8-A435-D7CFA04C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A7"/>
    <w:rPr>
      <w:rFonts w:eastAsiaTheme="majorEastAsia" w:cstheme="majorBidi"/>
      <w:color w:val="272727" w:themeColor="text1" w:themeTint="D8"/>
    </w:rPr>
  </w:style>
  <w:style w:type="paragraph" w:styleId="Title">
    <w:name w:val="Title"/>
    <w:basedOn w:val="Normal"/>
    <w:next w:val="Normal"/>
    <w:link w:val="TitleChar"/>
    <w:uiPriority w:val="10"/>
    <w:qFormat/>
    <w:rsid w:val="007F7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A7"/>
    <w:pPr>
      <w:spacing w:before="160"/>
      <w:jc w:val="center"/>
    </w:pPr>
    <w:rPr>
      <w:i/>
      <w:iCs/>
      <w:color w:val="404040" w:themeColor="text1" w:themeTint="BF"/>
    </w:rPr>
  </w:style>
  <w:style w:type="character" w:customStyle="1" w:styleId="QuoteChar">
    <w:name w:val="Quote Char"/>
    <w:basedOn w:val="DefaultParagraphFont"/>
    <w:link w:val="Quote"/>
    <w:uiPriority w:val="29"/>
    <w:rsid w:val="007F75A7"/>
    <w:rPr>
      <w:i/>
      <w:iCs/>
      <w:color w:val="404040" w:themeColor="text1" w:themeTint="BF"/>
    </w:rPr>
  </w:style>
  <w:style w:type="paragraph" w:styleId="ListParagraph">
    <w:name w:val="List Paragraph"/>
    <w:basedOn w:val="Normal"/>
    <w:uiPriority w:val="34"/>
    <w:qFormat/>
    <w:rsid w:val="007F75A7"/>
    <w:pPr>
      <w:ind w:left="720"/>
      <w:contextualSpacing/>
    </w:pPr>
  </w:style>
  <w:style w:type="character" w:styleId="IntenseEmphasis">
    <w:name w:val="Intense Emphasis"/>
    <w:basedOn w:val="DefaultParagraphFont"/>
    <w:uiPriority w:val="21"/>
    <w:qFormat/>
    <w:rsid w:val="007F75A7"/>
    <w:rPr>
      <w:i/>
      <w:iCs/>
      <w:color w:val="0F4761" w:themeColor="accent1" w:themeShade="BF"/>
    </w:rPr>
  </w:style>
  <w:style w:type="paragraph" w:styleId="IntenseQuote">
    <w:name w:val="Intense Quote"/>
    <w:basedOn w:val="Normal"/>
    <w:next w:val="Normal"/>
    <w:link w:val="IntenseQuoteChar"/>
    <w:uiPriority w:val="30"/>
    <w:qFormat/>
    <w:rsid w:val="007F7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5A7"/>
    <w:rPr>
      <w:i/>
      <w:iCs/>
      <w:color w:val="0F4761" w:themeColor="accent1" w:themeShade="BF"/>
    </w:rPr>
  </w:style>
  <w:style w:type="character" w:styleId="IntenseReference">
    <w:name w:val="Intense Reference"/>
    <w:basedOn w:val="DefaultParagraphFont"/>
    <w:uiPriority w:val="32"/>
    <w:qFormat/>
    <w:rsid w:val="007F75A7"/>
    <w:rPr>
      <w:b/>
      <w:bCs/>
      <w:smallCaps/>
      <w:color w:val="0F4761" w:themeColor="accent1" w:themeShade="BF"/>
      <w:spacing w:val="5"/>
    </w:rPr>
  </w:style>
  <w:style w:type="character" w:styleId="Hyperlink">
    <w:name w:val="Hyperlink"/>
    <w:basedOn w:val="DefaultParagraphFont"/>
    <w:uiPriority w:val="99"/>
    <w:unhideWhenUsed/>
    <w:rsid w:val="005D2B22"/>
    <w:rPr>
      <w:color w:val="467886" w:themeColor="hyperlink"/>
      <w:u w:val="single"/>
    </w:rPr>
  </w:style>
  <w:style w:type="character" w:styleId="UnresolvedMention">
    <w:name w:val="Unresolved Mention"/>
    <w:basedOn w:val="DefaultParagraphFont"/>
    <w:uiPriority w:val="99"/>
    <w:semiHidden/>
    <w:unhideWhenUsed/>
    <w:rsid w:val="005D2B22"/>
    <w:rPr>
      <w:color w:val="605E5C"/>
      <w:shd w:val="clear" w:color="auto" w:fill="E1DFDD"/>
    </w:rPr>
  </w:style>
  <w:style w:type="table" w:styleId="TableGrid">
    <w:name w:val="Table Grid"/>
    <w:basedOn w:val="TableNormal"/>
    <w:uiPriority w:val="39"/>
    <w:rsid w:val="000E0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0E0042"/>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GridTable7Colorful-Accent1">
    <w:name w:val="Grid Table 7 Colorful Accent 1"/>
    <w:basedOn w:val="TableNormal"/>
    <w:uiPriority w:val="52"/>
    <w:rsid w:val="000E0042"/>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64406">
      <w:bodyDiv w:val="1"/>
      <w:marLeft w:val="0"/>
      <w:marRight w:val="0"/>
      <w:marTop w:val="0"/>
      <w:marBottom w:val="0"/>
      <w:divBdr>
        <w:top w:val="none" w:sz="0" w:space="0" w:color="auto"/>
        <w:left w:val="none" w:sz="0" w:space="0" w:color="auto"/>
        <w:bottom w:val="none" w:sz="0" w:space="0" w:color="auto"/>
        <w:right w:val="none" w:sz="0" w:space="0" w:color="auto"/>
      </w:divBdr>
      <w:divsChild>
        <w:div w:id="13383691">
          <w:marLeft w:val="0"/>
          <w:marRight w:val="0"/>
          <w:marTop w:val="0"/>
          <w:marBottom w:val="0"/>
          <w:divBdr>
            <w:top w:val="none" w:sz="0" w:space="0" w:color="auto"/>
            <w:left w:val="none" w:sz="0" w:space="0" w:color="auto"/>
            <w:bottom w:val="none" w:sz="0" w:space="0" w:color="auto"/>
            <w:right w:val="none" w:sz="0" w:space="0" w:color="auto"/>
          </w:divBdr>
          <w:divsChild>
            <w:div w:id="12326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6190">
      <w:bodyDiv w:val="1"/>
      <w:marLeft w:val="0"/>
      <w:marRight w:val="0"/>
      <w:marTop w:val="0"/>
      <w:marBottom w:val="0"/>
      <w:divBdr>
        <w:top w:val="none" w:sz="0" w:space="0" w:color="auto"/>
        <w:left w:val="none" w:sz="0" w:space="0" w:color="auto"/>
        <w:bottom w:val="none" w:sz="0" w:space="0" w:color="auto"/>
        <w:right w:val="none" w:sz="0" w:space="0" w:color="auto"/>
      </w:divBdr>
    </w:div>
    <w:div w:id="506790776">
      <w:bodyDiv w:val="1"/>
      <w:marLeft w:val="0"/>
      <w:marRight w:val="0"/>
      <w:marTop w:val="0"/>
      <w:marBottom w:val="0"/>
      <w:divBdr>
        <w:top w:val="none" w:sz="0" w:space="0" w:color="auto"/>
        <w:left w:val="none" w:sz="0" w:space="0" w:color="auto"/>
        <w:bottom w:val="none" w:sz="0" w:space="0" w:color="auto"/>
        <w:right w:val="none" w:sz="0" w:space="0" w:color="auto"/>
      </w:divBdr>
      <w:divsChild>
        <w:div w:id="1540976295">
          <w:marLeft w:val="0"/>
          <w:marRight w:val="0"/>
          <w:marTop w:val="0"/>
          <w:marBottom w:val="0"/>
          <w:divBdr>
            <w:top w:val="none" w:sz="0" w:space="0" w:color="auto"/>
            <w:left w:val="none" w:sz="0" w:space="0" w:color="auto"/>
            <w:bottom w:val="none" w:sz="0" w:space="0" w:color="auto"/>
            <w:right w:val="none" w:sz="0" w:space="0" w:color="auto"/>
          </w:divBdr>
          <w:divsChild>
            <w:div w:id="3086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8773">
      <w:bodyDiv w:val="1"/>
      <w:marLeft w:val="0"/>
      <w:marRight w:val="0"/>
      <w:marTop w:val="0"/>
      <w:marBottom w:val="0"/>
      <w:divBdr>
        <w:top w:val="none" w:sz="0" w:space="0" w:color="auto"/>
        <w:left w:val="none" w:sz="0" w:space="0" w:color="auto"/>
        <w:bottom w:val="none" w:sz="0" w:space="0" w:color="auto"/>
        <w:right w:val="none" w:sz="0" w:space="0" w:color="auto"/>
      </w:divBdr>
      <w:divsChild>
        <w:div w:id="2035374080">
          <w:marLeft w:val="0"/>
          <w:marRight w:val="0"/>
          <w:marTop w:val="0"/>
          <w:marBottom w:val="0"/>
          <w:divBdr>
            <w:top w:val="none" w:sz="0" w:space="0" w:color="auto"/>
            <w:left w:val="none" w:sz="0" w:space="0" w:color="auto"/>
            <w:bottom w:val="none" w:sz="0" w:space="0" w:color="auto"/>
            <w:right w:val="none" w:sz="0" w:space="0" w:color="auto"/>
          </w:divBdr>
          <w:divsChild>
            <w:div w:id="7435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38246">
      <w:bodyDiv w:val="1"/>
      <w:marLeft w:val="0"/>
      <w:marRight w:val="0"/>
      <w:marTop w:val="0"/>
      <w:marBottom w:val="0"/>
      <w:divBdr>
        <w:top w:val="none" w:sz="0" w:space="0" w:color="auto"/>
        <w:left w:val="none" w:sz="0" w:space="0" w:color="auto"/>
        <w:bottom w:val="none" w:sz="0" w:space="0" w:color="auto"/>
        <w:right w:val="none" w:sz="0" w:space="0" w:color="auto"/>
      </w:divBdr>
    </w:div>
    <w:div w:id="689064616">
      <w:bodyDiv w:val="1"/>
      <w:marLeft w:val="0"/>
      <w:marRight w:val="0"/>
      <w:marTop w:val="0"/>
      <w:marBottom w:val="0"/>
      <w:divBdr>
        <w:top w:val="none" w:sz="0" w:space="0" w:color="auto"/>
        <w:left w:val="none" w:sz="0" w:space="0" w:color="auto"/>
        <w:bottom w:val="none" w:sz="0" w:space="0" w:color="auto"/>
        <w:right w:val="none" w:sz="0" w:space="0" w:color="auto"/>
      </w:divBdr>
      <w:divsChild>
        <w:div w:id="1337265547">
          <w:marLeft w:val="0"/>
          <w:marRight w:val="0"/>
          <w:marTop w:val="0"/>
          <w:marBottom w:val="0"/>
          <w:divBdr>
            <w:top w:val="none" w:sz="0" w:space="0" w:color="auto"/>
            <w:left w:val="none" w:sz="0" w:space="0" w:color="auto"/>
            <w:bottom w:val="none" w:sz="0" w:space="0" w:color="auto"/>
            <w:right w:val="none" w:sz="0" w:space="0" w:color="auto"/>
          </w:divBdr>
          <w:divsChild>
            <w:div w:id="3521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4687">
      <w:bodyDiv w:val="1"/>
      <w:marLeft w:val="0"/>
      <w:marRight w:val="0"/>
      <w:marTop w:val="0"/>
      <w:marBottom w:val="0"/>
      <w:divBdr>
        <w:top w:val="none" w:sz="0" w:space="0" w:color="auto"/>
        <w:left w:val="none" w:sz="0" w:space="0" w:color="auto"/>
        <w:bottom w:val="none" w:sz="0" w:space="0" w:color="auto"/>
        <w:right w:val="none" w:sz="0" w:space="0" w:color="auto"/>
      </w:divBdr>
    </w:div>
    <w:div w:id="742720193">
      <w:bodyDiv w:val="1"/>
      <w:marLeft w:val="0"/>
      <w:marRight w:val="0"/>
      <w:marTop w:val="0"/>
      <w:marBottom w:val="0"/>
      <w:divBdr>
        <w:top w:val="none" w:sz="0" w:space="0" w:color="auto"/>
        <w:left w:val="none" w:sz="0" w:space="0" w:color="auto"/>
        <w:bottom w:val="none" w:sz="0" w:space="0" w:color="auto"/>
        <w:right w:val="none" w:sz="0" w:space="0" w:color="auto"/>
      </w:divBdr>
    </w:div>
    <w:div w:id="755519034">
      <w:bodyDiv w:val="1"/>
      <w:marLeft w:val="0"/>
      <w:marRight w:val="0"/>
      <w:marTop w:val="0"/>
      <w:marBottom w:val="0"/>
      <w:divBdr>
        <w:top w:val="none" w:sz="0" w:space="0" w:color="auto"/>
        <w:left w:val="none" w:sz="0" w:space="0" w:color="auto"/>
        <w:bottom w:val="none" w:sz="0" w:space="0" w:color="auto"/>
        <w:right w:val="none" w:sz="0" w:space="0" w:color="auto"/>
      </w:divBdr>
    </w:div>
    <w:div w:id="789512376">
      <w:bodyDiv w:val="1"/>
      <w:marLeft w:val="0"/>
      <w:marRight w:val="0"/>
      <w:marTop w:val="0"/>
      <w:marBottom w:val="0"/>
      <w:divBdr>
        <w:top w:val="none" w:sz="0" w:space="0" w:color="auto"/>
        <w:left w:val="none" w:sz="0" w:space="0" w:color="auto"/>
        <w:bottom w:val="none" w:sz="0" w:space="0" w:color="auto"/>
        <w:right w:val="none" w:sz="0" w:space="0" w:color="auto"/>
      </w:divBdr>
    </w:div>
    <w:div w:id="847136912">
      <w:bodyDiv w:val="1"/>
      <w:marLeft w:val="0"/>
      <w:marRight w:val="0"/>
      <w:marTop w:val="0"/>
      <w:marBottom w:val="0"/>
      <w:divBdr>
        <w:top w:val="none" w:sz="0" w:space="0" w:color="auto"/>
        <w:left w:val="none" w:sz="0" w:space="0" w:color="auto"/>
        <w:bottom w:val="none" w:sz="0" w:space="0" w:color="auto"/>
        <w:right w:val="none" w:sz="0" w:space="0" w:color="auto"/>
      </w:divBdr>
      <w:divsChild>
        <w:div w:id="763768513">
          <w:marLeft w:val="0"/>
          <w:marRight w:val="0"/>
          <w:marTop w:val="0"/>
          <w:marBottom w:val="0"/>
          <w:divBdr>
            <w:top w:val="none" w:sz="0" w:space="0" w:color="auto"/>
            <w:left w:val="none" w:sz="0" w:space="0" w:color="auto"/>
            <w:bottom w:val="none" w:sz="0" w:space="0" w:color="auto"/>
            <w:right w:val="none" w:sz="0" w:space="0" w:color="auto"/>
          </w:divBdr>
          <w:divsChild>
            <w:div w:id="20954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2273">
      <w:bodyDiv w:val="1"/>
      <w:marLeft w:val="0"/>
      <w:marRight w:val="0"/>
      <w:marTop w:val="0"/>
      <w:marBottom w:val="0"/>
      <w:divBdr>
        <w:top w:val="none" w:sz="0" w:space="0" w:color="auto"/>
        <w:left w:val="none" w:sz="0" w:space="0" w:color="auto"/>
        <w:bottom w:val="none" w:sz="0" w:space="0" w:color="auto"/>
        <w:right w:val="none" w:sz="0" w:space="0" w:color="auto"/>
      </w:divBdr>
    </w:div>
    <w:div w:id="970095297">
      <w:bodyDiv w:val="1"/>
      <w:marLeft w:val="0"/>
      <w:marRight w:val="0"/>
      <w:marTop w:val="0"/>
      <w:marBottom w:val="0"/>
      <w:divBdr>
        <w:top w:val="none" w:sz="0" w:space="0" w:color="auto"/>
        <w:left w:val="none" w:sz="0" w:space="0" w:color="auto"/>
        <w:bottom w:val="none" w:sz="0" w:space="0" w:color="auto"/>
        <w:right w:val="none" w:sz="0" w:space="0" w:color="auto"/>
      </w:divBdr>
      <w:divsChild>
        <w:div w:id="715469462">
          <w:marLeft w:val="0"/>
          <w:marRight w:val="0"/>
          <w:marTop w:val="0"/>
          <w:marBottom w:val="0"/>
          <w:divBdr>
            <w:top w:val="none" w:sz="0" w:space="0" w:color="auto"/>
            <w:left w:val="none" w:sz="0" w:space="0" w:color="auto"/>
            <w:bottom w:val="none" w:sz="0" w:space="0" w:color="auto"/>
            <w:right w:val="none" w:sz="0" w:space="0" w:color="auto"/>
          </w:divBdr>
          <w:divsChild>
            <w:div w:id="12581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63553">
      <w:bodyDiv w:val="1"/>
      <w:marLeft w:val="0"/>
      <w:marRight w:val="0"/>
      <w:marTop w:val="0"/>
      <w:marBottom w:val="0"/>
      <w:divBdr>
        <w:top w:val="none" w:sz="0" w:space="0" w:color="auto"/>
        <w:left w:val="none" w:sz="0" w:space="0" w:color="auto"/>
        <w:bottom w:val="none" w:sz="0" w:space="0" w:color="auto"/>
        <w:right w:val="none" w:sz="0" w:space="0" w:color="auto"/>
      </w:divBdr>
      <w:divsChild>
        <w:div w:id="135102054">
          <w:marLeft w:val="0"/>
          <w:marRight w:val="0"/>
          <w:marTop w:val="0"/>
          <w:marBottom w:val="0"/>
          <w:divBdr>
            <w:top w:val="none" w:sz="0" w:space="0" w:color="auto"/>
            <w:left w:val="none" w:sz="0" w:space="0" w:color="auto"/>
            <w:bottom w:val="none" w:sz="0" w:space="0" w:color="auto"/>
            <w:right w:val="none" w:sz="0" w:space="0" w:color="auto"/>
          </w:divBdr>
          <w:divsChild>
            <w:div w:id="64501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772136">
      <w:bodyDiv w:val="1"/>
      <w:marLeft w:val="0"/>
      <w:marRight w:val="0"/>
      <w:marTop w:val="0"/>
      <w:marBottom w:val="0"/>
      <w:divBdr>
        <w:top w:val="none" w:sz="0" w:space="0" w:color="auto"/>
        <w:left w:val="none" w:sz="0" w:space="0" w:color="auto"/>
        <w:bottom w:val="none" w:sz="0" w:space="0" w:color="auto"/>
        <w:right w:val="none" w:sz="0" w:space="0" w:color="auto"/>
      </w:divBdr>
      <w:divsChild>
        <w:div w:id="1271821038">
          <w:marLeft w:val="0"/>
          <w:marRight w:val="0"/>
          <w:marTop w:val="0"/>
          <w:marBottom w:val="0"/>
          <w:divBdr>
            <w:top w:val="none" w:sz="0" w:space="0" w:color="auto"/>
            <w:left w:val="none" w:sz="0" w:space="0" w:color="auto"/>
            <w:bottom w:val="none" w:sz="0" w:space="0" w:color="auto"/>
            <w:right w:val="none" w:sz="0" w:space="0" w:color="auto"/>
          </w:divBdr>
          <w:divsChild>
            <w:div w:id="203221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4597">
      <w:bodyDiv w:val="1"/>
      <w:marLeft w:val="0"/>
      <w:marRight w:val="0"/>
      <w:marTop w:val="0"/>
      <w:marBottom w:val="0"/>
      <w:divBdr>
        <w:top w:val="none" w:sz="0" w:space="0" w:color="auto"/>
        <w:left w:val="none" w:sz="0" w:space="0" w:color="auto"/>
        <w:bottom w:val="none" w:sz="0" w:space="0" w:color="auto"/>
        <w:right w:val="none" w:sz="0" w:space="0" w:color="auto"/>
      </w:divBdr>
      <w:divsChild>
        <w:div w:id="1672876906">
          <w:marLeft w:val="0"/>
          <w:marRight w:val="0"/>
          <w:marTop w:val="0"/>
          <w:marBottom w:val="0"/>
          <w:divBdr>
            <w:top w:val="none" w:sz="0" w:space="0" w:color="auto"/>
            <w:left w:val="none" w:sz="0" w:space="0" w:color="auto"/>
            <w:bottom w:val="none" w:sz="0" w:space="0" w:color="auto"/>
            <w:right w:val="none" w:sz="0" w:space="0" w:color="auto"/>
          </w:divBdr>
          <w:divsChild>
            <w:div w:id="12745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7876">
      <w:bodyDiv w:val="1"/>
      <w:marLeft w:val="0"/>
      <w:marRight w:val="0"/>
      <w:marTop w:val="0"/>
      <w:marBottom w:val="0"/>
      <w:divBdr>
        <w:top w:val="none" w:sz="0" w:space="0" w:color="auto"/>
        <w:left w:val="none" w:sz="0" w:space="0" w:color="auto"/>
        <w:bottom w:val="none" w:sz="0" w:space="0" w:color="auto"/>
        <w:right w:val="none" w:sz="0" w:space="0" w:color="auto"/>
      </w:divBdr>
    </w:div>
    <w:div w:id="1168986886">
      <w:bodyDiv w:val="1"/>
      <w:marLeft w:val="0"/>
      <w:marRight w:val="0"/>
      <w:marTop w:val="0"/>
      <w:marBottom w:val="0"/>
      <w:divBdr>
        <w:top w:val="none" w:sz="0" w:space="0" w:color="auto"/>
        <w:left w:val="none" w:sz="0" w:space="0" w:color="auto"/>
        <w:bottom w:val="none" w:sz="0" w:space="0" w:color="auto"/>
        <w:right w:val="none" w:sz="0" w:space="0" w:color="auto"/>
      </w:divBdr>
      <w:divsChild>
        <w:div w:id="51462080">
          <w:marLeft w:val="0"/>
          <w:marRight w:val="0"/>
          <w:marTop w:val="0"/>
          <w:marBottom w:val="0"/>
          <w:divBdr>
            <w:top w:val="none" w:sz="0" w:space="0" w:color="auto"/>
            <w:left w:val="none" w:sz="0" w:space="0" w:color="auto"/>
            <w:bottom w:val="none" w:sz="0" w:space="0" w:color="auto"/>
            <w:right w:val="none" w:sz="0" w:space="0" w:color="auto"/>
          </w:divBdr>
          <w:divsChild>
            <w:div w:id="20362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7804">
      <w:bodyDiv w:val="1"/>
      <w:marLeft w:val="0"/>
      <w:marRight w:val="0"/>
      <w:marTop w:val="0"/>
      <w:marBottom w:val="0"/>
      <w:divBdr>
        <w:top w:val="none" w:sz="0" w:space="0" w:color="auto"/>
        <w:left w:val="none" w:sz="0" w:space="0" w:color="auto"/>
        <w:bottom w:val="none" w:sz="0" w:space="0" w:color="auto"/>
        <w:right w:val="none" w:sz="0" w:space="0" w:color="auto"/>
      </w:divBdr>
    </w:div>
    <w:div w:id="1222251066">
      <w:bodyDiv w:val="1"/>
      <w:marLeft w:val="0"/>
      <w:marRight w:val="0"/>
      <w:marTop w:val="0"/>
      <w:marBottom w:val="0"/>
      <w:divBdr>
        <w:top w:val="none" w:sz="0" w:space="0" w:color="auto"/>
        <w:left w:val="none" w:sz="0" w:space="0" w:color="auto"/>
        <w:bottom w:val="none" w:sz="0" w:space="0" w:color="auto"/>
        <w:right w:val="none" w:sz="0" w:space="0" w:color="auto"/>
      </w:divBdr>
    </w:div>
    <w:div w:id="1318071006">
      <w:bodyDiv w:val="1"/>
      <w:marLeft w:val="0"/>
      <w:marRight w:val="0"/>
      <w:marTop w:val="0"/>
      <w:marBottom w:val="0"/>
      <w:divBdr>
        <w:top w:val="none" w:sz="0" w:space="0" w:color="auto"/>
        <w:left w:val="none" w:sz="0" w:space="0" w:color="auto"/>
        <w:bottom w:val="none" w:sz="0" w:space="0" w:color="auto"/>
        <w:right w:val="none" w:sz="0" w:space="0" w:color="auto"/>
      </w:divBdr>
      <w:divsChild>
        <w:div w:id="1332755065">
          <w:marLeft w:val="0"/>
          <w:marRight w:val="0"/>
          <w:marTop w:val="0"/>
          <w:marBottom w:val="0"/>
          <w:divBdr>
            <w:top w:val="none" w:sz="0" w:space="0" w:color="auto"/>
            <w:left w:val="none" w:sz="0" w:space="0" w:color="auto"/>
            <w:bottom w:val="none" w:sz="0" w:space="0" w:color="auto"/>
            <w:right w:val="none" w:sz="0" w:space="0" w:color="auto"/>
          </w:divBdr>
          <w:divsChild>
            <w:div w:id="14064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71561">
      <w:bodyDiv w:val="1"/>
      <w:marLeft w:val="0"/>
      <w:marRight w:val="0"/>
      <w:marTop w:val="0"/>
      <w:marBottom w:val="0"/>
      <w:divBdr>
        <w:top w:val="none" w:sz="0" w:space="0" w:color="auto"/>
        <w:left w:val="none" w:sz="0" w:space="0" w:color="auto"/>
        <w:bottom w:val="none" w:sz="0" w:space="0" w:color="auto"/>
        <w:right w:val="none" w:sz="0" w:space="0" w:color="auto"/>
      </w:divBdr>
    </w:div>
    <w:div w:id="1607882904">
      <w:bodyDiv w:val="1"/>
      <w:marLeft w:val="0"/>
      <w:marRight w:val="0"/>
      <w:marTop w:val="0"/>
      <w:marBottom w:val="0"/>
      <w:divBdr>
        <w:top w:val="none" w:sz="0" w:space="0" w:color="auto"/>
        <w:left w:val="none" w:sz="0" w:space="0" w:color="auto"/>
        <w:bottom w:val="none" w:sz="0" w:space="0" w:color="auto"/>
        <w:right w:val="none" w:sz="0" w:space="0" w:color="auto"/>
      </w:divBdr>
      <w:divsChild>
        <w:div w:id="1626547669">
          <w:marLeft w:val="0"/>
          <w:marRight w:val="0"/>
          <w:marTop w:val="0"/>
          <w:marBottom w:val="0"/>
          <w:divBdr>
            <w:top w:val="none" w:sz="0" w:space="0" w:color="auto"/>
            <w:left w:val="none" w:sz="0" w:space="0" w:color="auto"/>
            <w:bottom w:val="none" w:sz="0" w:space="0" w:color="auto"/>
            <w:right w:val="none" w:sz="0" w:space="0" w:color="auto"/>
          </w:divBdr>
          <w:divsChild>
            <w:div w:id="1666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9713">
      <w:bodyDiv w:val="1"/>
      <w:marLeft w:val="0"/>
      <w:marRight w:val="0"/>
      <w:marTop w:val="0"/>
      <w:marBottom w:val="0"/>
      <w:divBdr>
        <w:top w:val="none" w:sz="0" w:space="0" w:color="auto"/>
        <w:left w:val="none" w:sz="0" w:space="0" w:color="auto"/>
        <w:bottom w:val="none" w:sz="0" w:space="0" w:color="auto"/>
        <w:right w:val="none" w:sz="0" w:space="0" w:color="auto"/>
      </w:divBdr>
    </w:div>
    <w:div w:id="1649018679">
      <w:bodyDiv w:val="1"/>
      <w:marLeft w:val="0"/>
      <w:marRight w:val="0"/>
      <w:marTop w:val="0"/>
      <w:marBottom w:val="0"/>
      <w:divBdr>
        <w:top w:val="none" w:sz="0" w:space="0" w:color="auto"/>
        <w:left w:val="none" w:sz="0" w:space="0" w:color="auto"/>
        <w:bottom w:val="none" w:sz="0" w:space="0" w:color="auto"/>
        <w:right w:val="none" w:sz="0" w:space="0" w:color="auto"/>
      </w:divBdr>
    </w:div>
    <w:div w:id="1649899557">
      <w:bodyDiv w:val="1"/>
      <w:marLeft w:val="0"/>
      <w:marRight w:val="0"/>
      <w:marTop w:val="0"/>
      <w:marBottom w:val="0"/>
      <w:divBdr>
        <w:top w:val="none" w:sz="0" w:space="0" w:color="auto"/>
        <w:left w:val="none" w:sz="0" w:space="0" w:color="auto"/>
        <w:bottom w:val="none" w:sz="0" w:space="0" w:color="auto"/>
        <w:right w:val="none" w:sz="0" w:space="0" w:color="auto"/>
      </w:divBdr>
      <w:divsChild>
        <w:div w:id="1554079106">
          <w:marLeft w:val="0"/>
          <w:marRight w:val="0"/>
          <w:marTop w:val="0"/>
          <w:marBottom w:val="0"/>
          <w:divBdr>
            <w:top w:val="none" w:sz="0" w:space="0" w:color="auto"/>
            <w:left w:val="none" w:sz="0" w:space="0" w:color="auto"/>
            <w:bottom w:val="none" w:sz="0" w:space="0" w:color="auto"/>
            <w:right w:val="none" w:sz="0" w:space="0" w:color="auto"/>
          </w:divBdr>
          <w:divsChild>
            <w:div w:id="5536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6316">
      <w:bodyDiv w:val="1"/>
      <w:marLeft w:val="0"/>
      <w:marRight w:val="0"/>
      <w:marTop w:val="0"/>
      <w:marBottom w:val="0"/>
      <w:divBdr>
        <w:top w:val="none" w:sz="0" w:space="0" w:color="auto"/>
        <w:left w:val="none" w:sz="0" w:space="0" w:color="auto"/>
        <w:bottom w:val="none" w:sz="0" w:space="0" w:color="auto"/>
        <w:right w:val="none" w:sz="0" w:space="0" w:color="auto"/>
      </w:divBdr>
      <w:divsChild>
        <w:div w:id="1902714014">
          <w:marLeft w:val="0"/>
          <w:marRight w:val="0"/>
          <w:marTop w:val="0"/>
          <w:marBottom w:val="0"/>
          <w:divBdr>
            <w:top w:val="none" w:sz="0" w:space="0" w:color="auto"/>
            <w:left w:val="none" w:sz="0" w:space="0" w:color="auto"/>
            <w:bottom w:val="none" w:sz="0" w:space="0" w:color="auto"/>
            <w:right w:val="none" w:sz="0" w:space="0" w:color="auto"/>
          </w:divBdr>
          <w:divsChild>
            <w:div w:id="10195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3807">
      <w:bodyDiv w:val="1"/>
      <w:marLeft w:val="0"/>
      <w:marRight w:val="0"/>
      <w:marTop w:val="0"/>
      <w:marBottom w:val="0"/>
      <w:divBdr>
        <w:top w:val="none" w:sz="0" w:space="0" w:color="auto"/>
        <w:left w:val="none" w:sz="0" w:space="0" w:color="auto"/>
        <w:bottom w:val="none" w:sz="0" w:space="0" w:color="auto"/>
        <w:right w:val="none" w:sz="0" w:space="0" w:color="auto"/>
      </w:divBdr>
      <w:divsChild>
        <w:div w:id="1485439356">
          <w:marLeft w:val="0"/>
          <w:marRight w:val="0"/>
          <w:marTop w:val="0"/>
          <w:marBottom w:val="0"/>
          <w:divBdr>
            <w:top w:val="none" w:sz="0" w:space="0" w:color="auto"/>
            <w:left w:val="none" w:sz="0" w:space="0" w:color="auto"/>
            <w:bottom w:val="none" w:sz="0" w:space="0" w:color="auto"/>
            <w:right w:val="none" w:sz="0" w:space="0" w:color="auto"/>
          </w:divBdr>
          <w:divsChild>
            <w:div w:id="5842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62467">
      <w:bodyDiv w:val="1"/>
      <w:marLeft w:val="0"/>
      <w:marRight w:val="0"/>
      <w:marTop w:val="0"/>
      <w:marBottom w:val="0"/>
      <w:divBdr>
        <w:top w:val="none" w:sz="0" w:space="0" w:color="auto"/>
        <w:left w:val="none" w:sz="0" w:space="0" w:color="auto"/>
        <w:bottom w:val="none" w:sz="0" w:space="0" w:color="auto"/>
        <w:right w:val="none" w:sz="0" w:space="0" w:color="auto"/>
      </w:divBdr>
      <w:divsChild>
        <w:div w:id="336544786">
          <w:marLeft w:val="0"/>
          <w:marRight w:val="0"/>
          <w:marTop w:val="0"/>
          <w:marBottom w:val="0"/>
          <w:divBdr>
            <w:top w:val="none" w:sz="0" w:space="0" w:color="auto"/>
            <w:left w:val="none" w:sz="0" w:space="0" w:color="auto"/>
            <w:bottom w:val="none" w:sz="0" w:space="0" w:color="auto"/>
            <w:right w:val="none" w:sz="0" w:space="0" w:color="auto"/>
          </w:divBdr>
          <w:divsChild>
            <w:div w:id="5588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91821">
      <w:bodyDiv w:val="1"/>
      <w:marLeft w:val="0"/>
      <w:marRight w:val="0"/>
      <w:marTop w:val="0"/>
      <w:marBottom w:val="0"/>
      <w:divBdr>
        <w:top w:val="none" w:sz="0" w:space="0" w:color="auto"/>
        <w:left w:val="none" w:sz="0" w:space="0" w:color="auto"/>
        <w:bottom w:val="none" w:sz="0" w:space="0" w:color="auto"/>
        <w:right w:val="none" w:sz="0" w:space="0" w:color="auto"/>
      </w:divBdr>
      <w:divsChild>
        <w:div w:id="1870752451">
          <w:marLeft w:val="0"/>
          <w:marRight w:val="0"/>
          <w:marTop w:val="0"/>
          <w:marBottom w:val="0"/>
          <w:divBdr>
            <w:top w:val="none" w:sz="0" w:space="0" w:color="auto"/>
            <w:left w:val="none" w:sz="0" w:space="0" w:color="auto"/>
            <w:bottom w:val="none" w:sz="0" w:space="0" w:color="auto"/>
            <w:right w:val="none" w:sz="0" w:space="0" w:color="auto"/>
          </w:divBdr>
          <w:divsChild>
            <w:div w:id="17015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55019">
      <w:bodyDiv w:val="1"/>
      <w:marLeft w:val="0"/>
      <w:marRight w:val="0"/>
      <w:marTop w:val="0"/>
      <w:marBottom w:val="0"/>
      <w:divBdr>
        <w:top w:val="none" w:sz="0" w:space="0" w:color="auto"/>
        <w:left w:val="none" w:sz="0" w:space="0" w:color="auto"/>
        <w:bottom w:val="none" w:sz="0" w:space="0" w:color="auto"/>
        <w:right w:val="none" w:sz="0" w:space="0" w:color="auto"/>
      </w:divBdr>
      <w:divsChild>
        <w:div w:id="1085225978">
          <w:marLeft w:val="0"/>
          <w:marRight w:val="0"/>
          <w:marTop w:val="0"/>
          <w:marBottom w:val="0"/>
          <w:divBdr>
            <w:top w:val="none" w:sz="0" w:space="0" w:color="auto"/>
            <w:left w:val="none" w:sz="0" w:space="0" w:color="auto"/>
            <w:bottom w:val="none" w:sz="0" w:space="0" w:color="auto"/>
            <w:right w:val="none" w:sz="0" w:space="0" w:color="auto"/>
          </w:divBdr>
          <w:divsChild>
            <w:div w:id="159601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44713">
      <w:bodyDiv w:val="1"/>
      <w:marLeft w:val="0"/>
      <w:marRight w:val="0"/>
      <w:marTop w:val="0"/>
      <w:marBottom w:val="0"/>
      <w:divBdr>
        <w:top w:val="none" w:sz="0" w:space="0" w:color="auto"/>
        <w:left w:val="none" w:sz="0" w:space="0" w:color="auto"/>
        <w:bottom w:val="none" w:sz="0" w:space="0" w:color="auto"/>
        <w:right w:val="none" w:sz="0" w:space="0" w:color="auto"/>
      </w:divBdr>
    </w:div>
    <w:div w:id="2098086974">
      <w:bodyDiv w:val="1"/>
      <w:marLeft w:val="0"/>
      <w:marRight w:val="0"/>
      <w:marTop w:val="0"/>
      <w:marBottom w:val="0"/>
      <w:divBdr>
        <w:top w:val="none" w:sz="0" w:space="0" w:color="auto"/>
        <w:left w:val="none" w:sz="0" w:space="0" w:color="auto"/>
        <w:bottom w:val="none" w:sz="0" w:space="0" w:color="auto"/>
        <w:right w:val="none" w:sz="0" w:space="0" w:color="auto"/>
      </w:divBdr>
    </w:div>
    <w:div w:id="214167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16</Pages>
  <Words>1254</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Isacc Molina</dc:creator>
  <cp:keywords/>
  <dc:description/>
  <cp:lastModifiedBy>Isacc Molina</cp:lastModifiedBy>
  <cp:revision>13</cp:revision>
  <dcterms:created xsi:type="dcterms:W3CDTF">2025-03-28T22:39:00Z</dcterms:created>
  <dcterms:modified xsi:type="dcterms:W3CDTF">2025-04-08T02:12:00Z</dcterms:modified>
</cp:coreProperties>
</file>