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1E40AF"/>
          </w:tcPr>
          <w:p>
            <w:pPr>
              <w:spacing w:before="400"/>
              <w:jc w:val="center"/>
            </w:pPr>
            <w:r>
              <w:rPr>
                <w:b/>
                <w:color w:val="FFFFFF"/>
                <w:sz w:val="56"/>
              </w:rPr>
              <w:t>Step2Win</w:t>
            </w:r>
          </w:p>
          <w:p>
            <w:pPr>
              <w:jc w:val="center"/>
            </w:pPr>
            <w:r>
              <w:rPr>
                <w:b/>
                <w:color w:val="BFDBFE"/>
                <w:sz w:val="36"/>
              </w:rPr>
              <w:t>Privacy Policy</w:t>
            </w:r>
          </w:p>
          <w:p>
            <w:pPr>
              <w:jc w:val="center"/>
            </w:pPr>
            <w:r>
              <w:rPr>
                <w:color w:val="93C5FD"/>
                <w:sz w:val="22"/>
              </w:rPr>
              <w:t>How We Collect, Use, Protect, and Delete Your Personal Data</w:t>
            </w:r>
          </w:p>
          <w:p>
            <w:pPr>
              <w:spacing w:after="400"/>
              <w:jc w:val="center"/>
            </w:pPr>
            <w:r>
              <w:rPr>
                <w:color w:val="BFDBFE"/>
                <w:sz w:val="18"/>
              </w:rPr>
              <w:t>Version 1.0  ·  Effective March 2026  ·  Governed by Laws of Kenya</w:t>
            </w:r>
          </w:p>
        </w:tc>
      </w:tr>
    </w:tbl>
    <w:p/>
    <w:tbl>
      <w:tblPr>
        <w:tblStyle w:val="TableGrid"/>
        <w:tblW w:type="auto" w:w="0"/>
        <w:tblLook w:firstColumn="1" w:firstRow="1" w:lastColumn="0" w:lastRow="0" w:noHBand="0" w:noVBand="1" w:val="04A0"/>
      </w:tblPr>
      <w:tblGrid>
        <w:gridCol w:w="9360"/>
      </w:tblGrid>
      <w:tr>
        <w:tc>
          <w:tcPr>
            <w:tcW w:type="dxa" w:w="9360"/>
            <w:shd w:val="clear" w:color="auto" w:fill="EFF6FF"/>
          </w:tcPr>
          <w:p>
            <w:pPr>
              <w:spacing w:before="40" w:after="80"/>
            </w:pPr>
            <w:r>
              <w:rPr>
                <w:b/>
                <w:color w:val="1E40AF"/>
                <w:sz w:val="22"/>
              </w:rPr>
              <w:t>🔒  Your Privacy Matters</w:t>
            </w:r>
          </w:p>
          <w:p>
            <w:pPr>
              <w:spacing w:after="60"/>
            </w:pPr>
            <w:r>
              <w:rPr>
                <w:sz w:val="21"/>
              </w:rPr>
              <w:t>Step2Win is committed to protecting your personal data in compliance with the</w:t>
            </w:r>
          </w:p>
          <w:p>
            <w:pPr>
              <w:spacing w:after="60"/>
            </w:pPr>
            <w:r>
              <w:rPr>
                <w:sz w:val="21"/>
              </w:rPr>
              <w:t>Kenya Data Protection Act, 2019 (DPA) and the Data Protection (General) Regulations, 2021.</w:t>
            </w:r>
          </w:p>
          <w:p>
            <w:pPr>
              <w:spacing w:after="60"/>
            </w:pPr>
            <w:r>
              <w:rPr>
                <w:sz w:val="21"/>
              </w:rPr>
            </w:r>
          </w:p>
          <w:p>
            <w:pPr>
              <w:spacing w:after="60"/>
            </w:pPr>
            <w:r>
              <w:rPr>
                <w:sz w:val="21"/>
              </w:rPr>
              <w:t>This Policy explains exactly what data we collect, why we collect it, how we protect it,</w:t>
            </w:r>
          </w:p>
          <w:p>
            <w:pPr>
              <w:spacing w:after="60"/>
            </w:pPr>
            <w:r>
              <w:rPr>
                <w:sz w:val="21"/>
              </w:rPr>
              <w:t>how long we keep it, and what rights you have over it.</w:t>
            </w:r>
          </w:p>
          <w:p>
            <w:pPr>
              <w:spacing w:after="60"/>
            </w:pPr>
            <w:r>
              <w:rPr>
                <w:sz w:val="21"/>
              </w:rPr>
            </w:r>
          </w:p>
          <w:p>
            <w:pPr>
              <w:spacing w:after="60"/>
            </w:pPr>
            <w:r>
              <w:rPr>
                <w:sz w:val="21"/>
              </w:rPr>
              <w:t>We do not sell your personal data. We do not share it with advertisers.</w:t>
            </w:r>
          </w:p>
          <w:p>
            <w:pPr>
              <w:spacing w:after="60"/>
            </w:pPr>
            <w:r>
              <w:rPr>
                <w:sz w:val="21"/>
              </w:rPr>
              <w:t>We only share it where strictly necessary to operate the Platform.</w:t>
            </w:r>
          </w:p>
        </w:tc>
      </w:tr>
    </w:tbl>
    <w:p/>
    <w:p>
      <w:pPr>
        <w:spacing w:before="80" w:after="80"/>
        <w:pBdr>
          <w:bottom w:val="single" w:sz="4" w:space="1" w:color="DBEAFE"/>
        </w:pBdr>
      </w:pPr>
    </w:p>
    <w:p>
      <w:pPr>
        <w:spacing w:before="360" w:after="120"/>
      </w:pPr>
      <w:r>
        <w:rPr>
          <w:b/>
          <w:color w:val="1E40AF"/>
          <w:sz w:val="32"/>
        </w:rPr>
        <w:t>1.  WHO WE ARE — DATA CONTROLLER</w:t>
      </w:r>
    </w:p>
    <w:p>
      <w:pPr>
        <w:spacing w:after="120"/>
        <w:ind w:left="0"/>
      </w:pPr>
      <w:r>
        <w:rPr>
          <w:sz w:val="21"/>
        </w:rPr>
        <w:t>Step2Win is the Data Controller responsible for your personal data as defined under Section 2 of the Kenya Data Protection Act, 2019. This means we determine the purposes and means of processing your personal data.</w:t>
      </w:r>
    </w:p>
    <w:p>
      <w:pPr>
        <w:spacing w:after="120"/>
        <w:ind w:left="0"/>
      </w:pPr>
      <w:r>
        <w:rPr>
          <w:sz w:val="21"/>
        </w:rPr>
        <w:t>We are registered with the Office of the Data Protection Commissioner (ODPC) Kenya as required under the Data Protection (Registration of Data Controllers and Data Processors) Regulations, 2021.</w:t>
      </w:r>
    </w:p>
    <w:tbl>
      <w:tblPr>
        <w:tblStyle w:val="TableGrid"/>
        <w:tblW w:type="auto" w:w="0"/>
        <w:tblLook w:firstColumn="1" w:firstRow="1" w:lastColumn="0" w:lastRow="0" w:noHBand="0" w:noVBand="1" w:val="04A0"/>
      </w:tblPr>
      <w:tblGrid>
        <w:gridCol w:w="9360"/>
      </w:tblGrid>
      <w:tr>
        <w:tc>
          <w:tcPr>
            <w:tcW w:type="dxa" w:w="9360"/>
            <w:shd w:val="clear" w:color="auto" w:fill="F5F3FF"/>
          </w:tcPr>
          <w:p>
            <w:pPr>
              <w:spacing w:before="40" w:after="80"/>
            </w:pPr>
            <w:r>
              <w:rPr>
                <w:b/>
                <w:color w:val="1E40AF"/>
                <w:sz w:val="22"/>
              </w:rPr>
              <w:t>📋  Data Controller Details</w:t>
            </w:r>
          </w:p>
          <w:p>
            <w:pPr>
              <w:spacing w:after="60"/>
            </w:pPr>
            <w:r>
              <w:rPr>
                <w:sz w:val="21"/>
              </w:rPr>
              <w:t>Name:     Step2Win</w:t>
            </w:r>
          </w:p>
          <w:p>
            <w:pPr>
              <w:spacing w:after="60"/>
            </w:pPr>
            <w:r>
              <w:rPr>
                <w:sz w:val="21"/>
              </w:rPr>
              <w:t>Email:    privacy@step2win.co.ke</w:t>
            </w:r>
          </w:p>
          <w:p>
            <w:pPr>
              <w:spacing w:after="60"/>
            </w:pPr>
            <w:r>
              <w:rPr>
                <w:sz w:val="21"/>
              </w:rPr>
              <w:t>Address:  Nairobi, Kenya</w:t>
            </w:r>
          </w:p>
          <w:p>
            <w:pPr>
              <w:spacing w:after="60"/>
            </w:pPr>
            <w:r>
              <w:rPr>
                <w:sz w:val="21"/>
              </w:rPr>
              <w:t>ODPC Registration:  [Registration Number — to be inserted upon registration]</w:t>
            </w:r>
          </w:p>
          <w:p>
            <w:pPr>
              <w:spacing w:after="60"/>
            </w:pPr>
            <w:r>
              <w:rPr>
                <w:sz w:val="21"/>
              </w:rPr>
              <w:t>Data Protection Officer:  [Name — to be appointed]</w:t>
            </w:r>
          </w:p>
        </w:tc>
      </w:tr>
    </w:tbl>
    <w:p/>
    <w:p>
      <w:pPr>
        <w:spacing w:before="80" w:after="80"/>
        <w:pBdr>
          <w:bottom w:val="single" w:sz="4" w:space="1" w:color="DBEAFE"/>
        </w:pBdr>
      </w:pPr>
    </w:p>
    <w:p>
      <w:pPr>
        <w:spacing w:before="360" w:after="120"/>
      </w:pPr>
      <w:r>
        <w:rPr>
          <w:b/>
          <w:color w:val="1E40AF"/>
          <w:sz w:val="32"/>
        </w:rPr>
        <w:t>2.  WHAT DATA WE COLLECT AND WHY</w:t>
      </w:r>
    </w:p>
    <w:p>
      <w:pPr>
        <w:spacing w:before="240" w:after="120"/>
      </w:pPr>
      <w:r>
        <w:rPr>
          <w:b/>
          <w:color w:val="1E40AF"/>
          <w:sz w:val="26"/>
        </w:rPr>
        <w:t>2.1  Data You Provide Directly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E40AF"/>
          </w:tcPr>
          <w:p>
            <w:r>
              <w:rPr>
                <w:b/>
                <w:color w:val="FFFFFF"/>
                <w:sz w:val="20"/>
              </w:rPr>
              <w:t>Data</w:t>
            </w:r>
          </w:p>
        </w:tc>
        <w:tc>
          <w:tcPr>
            <w:tcW w:type="dxa" w:w="3120"/>
            <w:shd w:val="clear" w:color="auto" w:fill="1E40AF"/>
          </w:tcPr>
          <w:p>
            <w:r>
              <w:rPr>
                <w:b/>
                <w:color w:val="FFFFFF"/>
                <w:sz w:val="20"/>
              </w:rPr>
              <w:t>Why We Collect It</w:t>
            </w:r>
          </w:p>
        </w:tc>
        <w:tc>
          <w:tcPr>
            <w:tcW w:type="dxa" w:w="3120"/>
            <w:shd w:val="clear" w:color="auto" w:fill="1E40AF"/>
          </w:tcPr>
          <w:p>
            <w:r>
              <w:rPr>
                <w:b/>
                <w:color w:val="FFFFFF"/>
                <w:sz w:val="20"/>
              </w:rPr>
              <w:t>Legal Basis</w:t>
            </w:r>
          </w:p>
        </w:tc>
      </w:tr>
      <w:tr>
        <w:tc>
          <w:tcPr>
            <w:tcW w:type="dxa" w:w="3120"/>
            <w:shd w:val="clear" w:color="auto" w:fill="F9FAFB"/>
          </w:tcPr>
          <w:p>
            <w:r>
              <w:rPr>
                <w:sz w:val="20"/>
              </w:rPr>
              <w:t>Username</w:t>
            </w:r>
          </w:p>
        </w:tc>
        <w:tc>
          <w:tcPr>
            <w:tcW w:type="dxa" w:w="3120"/>
            <w:shd w:val="clear" w:color="auto" w:fill="F9FAFB"/>
          </w:tcPr>
          <w:p>
            <w:r>
              <w:rPr>
                <w:sz w:val="20"/>
              </w:rPr>
              <w:t>To identify you on the Platform and in challenges</w:t>
            </w:r>
          </w:p>
        </w:tc>
        <w:tc>
          <w:tcPr>
            <w:tcW w:type="dxa" w:w="3120"/>
            <w:shd w:val="clear" w:color="auto" w:fill="F9FAFB"/>
          </w:tcPr>
          <w:p>
            <w:r>
              <w:rPr>
                <w:sz w:val="20"/>
              </w:rPr>
              <w:t>Contract performance</w:t>
            </w:r>
          </w:p>
        </w:tc>
      </w:tr>
      <w:tr>
        <w:tc>
          <w:tcPr>
            <w:tcW w:type="dxa" w:w="3120"/>
            <w:shd w:val="clear" w:color="auto" w:fill="FFFFFF"/>
          </w:tcPr>
          <w:p>
            <w:r>
              <w:rPr>
                <w:sz w:val="20"/>
              </w:rPr>
              <w:t>Email address</w:t>
            </w:r>
          </w:p>
        </w:tc>
        <w:tc>
          <w:tcPr>
            <w:tcW w:type="dxa" w:w="3120"/>
            <w:shd w:val="clear" w:color="auto" w:fill="FFFFFF"/>
          </w:tcPr>
          <w:p>
            <w:r>
              <w:rPr>
                <w:sz w:val="20"/>
              </w:rPr>
              <w:t>Account login, security notifications, support communication</w:t>
            </w:r>
          </w:p>
        </w:tc>
        <w:tc>
          <w:tcPr>
            <w:tcW w:type="dxa" w:w="3120"/>
            <w:shd w:val="clear" w:color="auto" w:fill="FFFFFF"/>
          </w:tcPr>
          <w:p>
            <w:r>
              <w:rPr>
                <w:sz w:val="20"/>
              </w:rPr>
              <w:t>Contract performance</w:t>
            </w:r>
          </w:p>
        </w:tc>
      </w:tr>
      <w:tr>
        <w:tc>
          <w:tcPr>
            <w:tcW w:type="dxa" w:w="3120"/>
            <w:shd w:val="clear" w:color="auto" w:fill="F9FAFB"/>
          </w:tcPr>
          <w:p>
            <w:r>
              <w:rPr>
                <w:sz w:val="20"/>
              </w:rPr>
              <w:t>Phone number (M-Pesa)</w:t>
            </w:r>
          </w:p>
        </w:tc>
        <w:tc>
          <w:tcPr>
            <w:tcW w:type="dxa" w:w="3120"/>
            <w:shd w:val="clear" w:color="auto" w:fill="F9FAFB"/>
          </w:tcPr>
          <w:p>
            <w:r>
              <w:rPr>
                <w:sz w:val="20"/>
              </w:rPr>
              <w:t>To process deposits and withdrawals via M-Pesa / PochPay</w:t>
            </w:r>
          </w:p>
        </w:tc>
        <w:tc>
          <w:tcPr>
            <w:tcW w:type="dxa" w:w="3120"/>
            <w:shd w:val="clear" w:color="auto" w:fill="F9FAFB"/>
          </w:tcPr>
          <w:p>
            <w:r>
              <w:rPr>
                <w:sz w:val="20"/>
              </w:rPr>
              <w:t>Contract performance</w:t>
            </w:r>
          </w:p>
        </w:tc>
      </w:tr>
      <w:tr>
        <w:tc>
          <w:tcPr>
            <w:tcW w:type="dxa" w:w="3120"/>
            <w:shd w:val="clear" w:color="auto" w:fill="FFFFFF"/>
          </w:tcPr>
          <w:p>
            <w:r>
              <w:rPr>
                <w:sz w:val="20"/>
              </w:rPr>
              <w:t>Password (hashed)</w:t>
            </w:r>
          </w:p>
        </w:tc>
        <w:tc>
          <w:tcPr>
            <w:tcW w:type="dxa" w:w="3120"/>
            <w:shd w:val="clear" w:color="auto" w:fill="FFFFFF"/>
          </w:tcPr>
          <w:p>
            <w:r>
              <w:rPr>
                <w:sz w:val="20"/>
              </w:rPr>
              <w:t>Account security — we never store plaintext passwords</w:t>
            </w:r>
          </w:p>
        </w:tc>
        <w:tc>
          <w:tcPr>
            <w:tcW w:type="dxa" w:w="3120"/>
            <w:shd w:val="clear" w:color="auto" w:fill="FFFFFF"/>
          </w:tcPr>
          <w:p>
            <w:r>
              <w:rPr>
                <w:sz w:val="20"/>
              </w:rPr>
              <w:t>Contract performance</w:t>
            </w:r>
          </w:p>
        </w:tc>
      </w:tr>
      <w:tr>
        <w:tc>
          <w:tcPr>
            <w:tcW w:type="dxa" w:w="3120"/>
            <w:shd w:val="clear" w:color="auto" w:fill="F9FAFB"/>
          </w:tcPr>
          <w:p>
            <w:r>
              <w:rPr>
                <w:sz w:val="20"/>
              </w:rPr>
              <w:t>Age confirmation</w:t>
            </w:r>
          </w:p>
        </w:tc>
        <w:tc>
          <w:tcPr>
            <w:tcW w:type="dxa" w:w="3120"/>
            <w:shd w:val="clear" w:color="auto" w:fill="F9FAFB"/>
          </w:tcPr>
          <w:p>
            <w:r>
              <w:rPr>
                <w:sz w:val="20"/>
              </w:rPr>
              <w:t>To verify you are 18 years or older as legally required</w:t>
            </w:r>
          </w:p>
        </w:tc>
        <w:tc>
          <w:tcPr>
            <w:tcW w:type="dxa" w:w="3120"/>
            <w:shd w:val="clear" w:color="auto" w:fill="F9FAFB"/>
          </w:tcPr>
          <w:p>
            <w:r>
              <w:rPr>
                <w:sz w:val="20"/>
              </w:rPr>
              <w:t>Legal obligation</w:t>
            </w:r>
          </w:p>
        </w:tc>
      </w:tr>
      <w:tr>
        <w:tc>
          <w:tcPr>
            <w:tcW w:type="dxa" w:w="3120"/>
            <w:shd w:val="clear" w:color="auto" w:fill="FFFFFF"/>
          </w:tcPr>
          <w:p>
            <w:r>
              <w:rPr>
                <w:sz w:val="20"/>
              </w:rPr>
              <w:t>Privacy policy acceptance</w:t>
            </w:r>
          </w:p>
        </w:tc>
        <w:tc>
          <w:tcPr>
            <w:tcW w:type="dxa" w:w="3120"/>
            <w:shd w:val="clear" w:color="auto" w:fill="FFFFFF"/>
          </w:tcPr>
          <w:p>
            <w:r>
              <w:rPr>
                <w:sz w:val="20"/>
              </w:rPr>
              <w:t>To record your informed consent</w:t>
            </w:r>
          </w:p>
        </w:tc>
        <w:tc>
          <w:tcPr>
            <w:tcW w:type="dxa" w:w="3120"/>
            <w:shd w:val="clear" w:color="auto" w:fill="FFFFFF"/>
          </w:tcPr>
          <w:p>
            <w:r>
              <w:rPr>
                <w:sz w:val="20"/>
              </w:rPr>
              <w:t>Consent / Legal obligation</w:t>
            </w:r>
          </w:p>
        </w:tc>
      </w:tr>
    </w:tbl>
    <w:p/>
    <w:p>
      <w:pPr>
        <w:spacing w:before="240" w:after="120"/>
      </w:pPr>
      <w:r>
        <w:rPr>
          <w:b/>
          <w:color w:val="1E40AF"/>
          <w:sz w:val="26"/>
        </w:rPr>
        <w:t>2.2  Data Collected Automatically During Use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E40AF"/>
          </w:tcPr>
          <w:p>
            <w:r>
              <w:rPr>
                <w:b/>
                <w:color w:val="FFFFFF"/>
                <w:sz w:val="20"/>
              </w:rPr>
              <w:t>Data</w:t>
            </w:r>
          </w:p>
        </w:tc>
        <w:tc>
          <w:tcPr>
            <w:tcW w:type="dxa" w:w="3120"/>
            <w:shd w:val="clear" w:color="auto" w:fill="1E40AF"/>
          </w:tcPr>
          <w:p>
            <w:r>
              <w:rPr>
                <w:b/>
                <w:color w:val="FFFFFF"/>
                <w:sz w:val="20"/>
              </w:rPr>
              <w:t>Why We Collect It</w:t>
            </w:r>
          </w:p>
        </w:tc>
        <w:tc>
          <w:tcPr>
            <w:tcW w:type="dxa" w:w="3120"/>
            <w:shd w:val="clear" w:color="auto" w:fill="1E40AF"/>
          </w:tcPr>
          <w:p>
            <w:r>
              <w:rPr>
                <w:b/>
                <w:color w:val="FFFFFF"/>
                <w:sz w:val="20"/>
              </w:rPr>
              <w:t>Legal Basis</w:t>
            </w:r>
          </w:p>
        </w:tc>
      </w:tr>
      <w:tr>
        <w:tc>
          <w:tcPr>
            <w:tcW w:type="dxa" w:w="3120"/>
            <w:shd w:val="clear" w:color="auto" w:fill="F9FAFB"/>
          </w:tcPr>
          <w:p>
            <w:r>
              <w:rPr>
                <w:sz w:val="20"/>
              </w:rPr>
              <w:t>Daily step count</w:t>
            </w:r>
          </w:p>
        </w:tc>
        <w:tc>
          <w:tcPr>
            <w:tcW w:type="dxa" w:w="3120"/>
            <w:shd w:val="clear" w:color="auto" w:fill="F9FAFB"/>
          </w:tcPr>
          <w:p>
            <w:r>
              <w:rPr>
                <w:sz w:val="20"/>
              </w:rPr>
              <w:t>To track Challenge progress and determine qualification</w:t>
            </w:r>
          </w:p>
        </w:tc>
        <w:tc>
          <w:tcPr>
            <w:tcW w:type="dxa" w:w="3120"/>
            <w:shd w:val="clear" w:color="auto" w:fill="F9FAFB"/>
          </w:tcPr>
          <w:p>
            <w:r>
              <w:rPr>
                <w:sz w:val="20"/>
              </w:rPr>
              <w:t>Contract performance</w:t>
            </w:r>
          </w:p>
        </w:tc>
      </w:tr>
      <w:tr>
        <w:tc>
          <w:tcPr>
            <w:tcW w:type="dxa" w:w="3120"/>
            <w:shd w:val="clear" w:color="auto" w:fill="FFFFFF"/>
          </w:tcPr>
          <w:p>
            <w:r>
              <w:rPr>
                <w:sz w:val="20"/>
              </w:rPr>
              <w:t>GPS location data</w:t>
            </w:r>
          </w:p>
        </w:tc>
        <w:tc>
          <w:tcPr>
            <w:tcW w:type="dxa" w:w="3120"/>
            <w:shd w:val="clear" w:color="auto" w:fill="FFFFFF"/>
          </w:tcPr>
          <w:p>
            <w:r>
              <w:rPr>
                <w:sz w:val="20"/>
              </w:rPr>
              <w:t>To verify step authenticity; improve anti-cheat accuracy</w:t>
            </w:r>
          </w:p>
        </w:tc>
        <w:tc>
          <w:tcPr>
            <w:tcW w:type="dxa" w:w="3120"/>
            <w:shd w:val="clear" w:color="auto" w:fill="FFFFFF"/>
          </w:tcPr>
          <w:p>
            <w:r>
              <w:rPr>
                <w:sz w:val="20"/>
              </w:rPr>
              <w:t>Legitimate interest / Consent</w:t>
            </w:r>
          </w:p>
        </w:tc>
      </w:tr>
      <w:tr>
        <w:tc>
          <w:tcPr>
            <w:tcW w:type="dxa" w:w="3120"/>
            <w:shd w:val="clear" w:color="auto" w:fill="F9FAFB"/>
          </w:tcPr>
          <w:p>
            <w:r>
              <w:rPr>
                <w:sz w:val="20"/>
              </w:rPr>
              <w:t>Device identifier</w:t>
            </w:r>
          </w:p>
        </w:tc>
        <w:tc>
          <w:tcPr>
            <w:tcW w:type="dxa" w:w="3120"/>
            <w:shd w:val="clear" w:color="auto" w:fill="F9FAFB"/>
          </w:tcPr>
          <w:p>
            <w:r>
              <w:rPr>
                <w:sz w:val="20"/>
              </w:rPr>
              <w:t>To bind your fitness device to your account (anti-fraud)</w:t>
            </w:r>
          </w:p>
        </w:tc>
        <w:tc>
          <w:tcPr>
            <w:tcW w:type="dxa" w:w="3120"/>
            <w:shd w:val="clear" w:color="auto" w:fill="F9FAFB"/>
          </w:tcPr>
          <w:p>
            <w:r>
              <w:rPr>
                <w:sz w:val="20"/>
              </w:rPr>
              <w:t>Legitimate interest</w:t>
            </w:r>
          </w:p>
        </w:tc>
      </w:tr>
      <w:tr>
        <w:tc>
          <w:tcPr>
            <w:tcW w:type="dxa" w:w="3120"/>
            <w:shd w:val="clear" w:color="auto" w:fill="FFFFFF"/>
          </w:tcPr>
          <w:p>
            <w:r>
              <w:rPr>
                <w:sz w:val="20"/>
              </w:rPr>
              <w:t>Device platform (Android/iOS)</w:t>
            </w:r>
          </w:p>
        </w:tc>
        <w:tc>
          <w:tcPr>
            <w:tcW w:type="dxa" w:w="3120"/>
            <w:shd w:val="clear" w:color="auto" w:fill="FFFFFF"/>
          </w:tcPr>
          <w:p>
            <w:r>
              <w:rPr>
                <w:sz w:val="20"/>
              </w:rPr>
              <w:t>Technical support and platform optimisation</w:t>
            </w:r>
          </w:p>
        </w:tc>
        <w:tc>
          <w:tcPr>
            <w:tcW w:type="dxa" w:w="3120"/>
            <w:shd w:val="clear" w:color="auto" w:fill="FFFFFF"/>
          </w:tcPr>
          <w:p>
            <w:r>
              <w:rPr>
                <w:sz w:val="20"/>
              </w:rPr>
              <w:t>Legitimate interest</w:t>
            </w:r>
          </w:p>
        </w:tc>
      </w:tr>
      <w:tr>
        <w:tc>
          <w:tcPr>
            <w:tcW w:type="dxa" w:w="3120"/>
            <w:shd w:val="clear" w:color="auto" w:fill="F9FAFB"/>
          </w:tcPr>
          <w:p>
            <w:r>
              <w:rPr>
                <w:sz w:val="20"/>
              </w:rPr>
              <w:t>IP address and login times</w:t>
            </w:r>
          </w:p>
        </w:tc>
        <w:tc>
          <w:tcPr>
            <w:tcW w:type="dxa" w:w="3120"/>
            <w:shd w:val="clear" w:color="auto" w:fill="F9FAFB"/>
          </w:tcPr>
          <w:p>
            <w:r>
              <w:rPr>
                <w:sz w:val="20"/>
              </w:rPr>
              <w:t>Security monitoring, fraud detection</w:t>
            </w:r>
          </w:p>
        </w:tc>
        <w:tc>
          <w:tcPr>
            <w:tcW w:type="dxa" w:w="3120"/>
            <w:shd w:val="clear" w:color="auto" w:fill="F9FAFB"/>
          </w:tcPr>
          <w:p>
            <w:r>
              <w:rPr>
                <w:sz w:val="20"/>
              </w:rPr>
              <w:t>Legitimate interest</w:t>
            </w:r>
          </w:p>
        </w:tc>
      </w:tr>
      <w:tr>
        <w:tc>
          <w:tcPr>
            <w:tcW w:type="dxa" w:w="3120"/>
            <w:shd w:val="clear" w:color="auto" w:fill="FFFFFF"/>
          </w:tcPr>
          <w:p>
            <w:r>
              <w:rPr>
                <w:sz w:val="20"/>
              </w:rPr>
              <w:t>Challenge activity (joined, steps, results)</w:t>
            </w:r>
          </w:p>
        </w:tc>
        <w:tc>
          <w:tcPr>
            <w:tcW w:type="dxa" w:w="3120"/>
            <w:shd w:val="clear" w:color="auto" w:fill="FFFFFF"/>
          </w:tcPr>
          <w:p>
            <w:r>
              <w:rPr>
                <w:sz w:val="20"/>
              </w:rPr>
              <w:t>Core service delivery and historical records</w:t>
            </w:r>
          </w:p>
        </w:tc>
        <w:tc>
          <w:tcPr>
            <w:tcW w:type="dxa" w:w="3120"/>
            <w:shd w:val="clear" w:color="auto" w:fill="FFFFFF"/>
          </w:tcPr>
          <w:p>
            <w:r>
              <w:rPr>
                <w:sz w:val="20"/>
              </w:rPr>
              <w:t>Contract performance</w:t>
            </w:r>
          </w:p>
        </w:tc>
      </w:tr>
      <w:tr>
        <w:tc>
          <w:tcPr>
            <w:tcW w:type="dxa" w:w="3120"/>
            <w:shd w:val="clear" w:color="auto" w:fill="F9FAFB"/>
          </w:tcPr>
          <w:p>
            <w:r>
              <w:rPr>
                <w:sz w:val="20"/>
              </w:rPr>
              <w:t>Wallet transactions</w:t>
            </w:r>
          </w:p>
        </w:tc>
        <w:tc>
          <w:tcPr>
            <w:tcW w:type="dxa" w:w="3120"/>
            <w:shd w:val="clear" w:color="auto" w:fill="F9FAFB"/>
          </w:tcPr>
          <w:p>
            <w:r>
              <w:rPr>
                <w:sz w:val="20"/>
              </w:rPr>
              <w:t>Financial record-keeping, dispute resolution</w:t>
            </w:r>
          </w:p>
        </w:tc>
        <w:tc>
          <w:tcPr>
            <w:tcW w:type="dxa" w:w="3120"/>
            <w:shd w:val="clear" w:color="auto" w:fill="F9FAFB"/>
          </w:tcPr>
          <w:p>
            <w:r>
              <w:rPr>
                <w:sz w:val="20"/>
              </w:rPr>
              <w:t>Legal obligation</w:t>
            </w:r>
          </w:p>
        </w:tc>
      </w:tr>
      <w:tr>
        <w:tc>
          <w:tcPr>
            <w:tcW w:type="dxa" w:w="3120"/>
            <w:shd w:val="clear" w:color="auto" w:fill="FFFFFF"/>
          </w:tcPr>
          <w:p>
            <w:r>
              <w:rPr>
                <w:sz w:val="20"/>
              </w:rPr>
              <w:t>Group chat messages</w:t>
            </w:r>
          </w:p>
        </w:tc>
        <w:tc>
          <w:tcPr>
            <w:tcW w:type="dxa" w:w="3120"/>
            <w:shd w:val="clear" w:color="auto" w:fill="FFFFFF"/>
          </w:tcPr>
          <w:p>
            <w:r>
              <w:rPr>
                <w:sz w:val="20"/>
              </w:rPr>
              <w:t>To deliver the chat feature; moderation of harmful content</w:t>
            </w:r>
          </w:p>
        </w:tc>
        <w:tc>
          <w:tcPr>
            <w:tcW w:type="dxa" w:w="3120"/>
            <w:shd w:val="clear" w:color="auto" w:fill="FFFFFF"/>
          </w:tcPr>
          <w:p>
            <w:r>
              <w:rPr>
                <w:sz w:val="20"/>
              </w:rPr>
              <w:t>Contract performance</w:t>
            </w:r>
          </w:p>
        </w:tc>
      </w:tr>
      <w:tr>
        <w:tc>
          <w:tcPr>
            <w:tcW w:type="dxa" w:w="3120"/>
            <w:shd w:val="clear" w:color="auto" w:fill="F9FAFB"/>
          </w:tcPr>
          <w:p>
            <w:r>
              <w:rPr>
                <w:sz w:val="20"/>
              </w:rPr>
              <w:t>App usage patterns</w:t>
            </w:r>
          </w:p>
        </w:tc>
        <w:tc>
          <w:tcPr>
            <w:tcW w:type="dxa" w:w="3120"/>
            <w:shd w:val="clear" w:color="auto" w:fill="F9FAFB"/>
          </w:tcPr>
          <w:p>
            <w:r>
              <w:rPr>
                <w:sz w:val="20"/>
              </w:rPr>
              <w:t>To improve the Platform; detect anomalous behaviour</w:t>
            </w:r>
          </w:p>
        </w:tc>
        <w:tc>
          <w:tcPr>
            <w:tcW w:type="dxa" w:w="3120"/>
            <w:shd w:val="clear" w:color="auto" w:fill="F9FAFB"/>
          </w:tcPr>
          <w:p>
            <w:r>
              <w:rPr>
                <w:sz w:val="20"/>
              </w:rPr>
              <w:t>Legitimate interest</w:t>
            </w:r>
          </w:p>
        </w:tc>
      </w:tr>
    </w:tbl>
    <w:p/>
    <w:p>
      <w:pPr>
        <w:spacing w:before="240" w:after="120"/>
      </w:pPr>
      <w:r>
        <w:rPr>
          <w:b/>
          <w:color w:val="1E40AF"/>
          <w:sz w:val="26"/>
        </w:rPr>
        <w:t>2.3  Health Data — Special Category</w:t>
      </w:r>
    </w:p>
    <w:tbl>
      <w:tblPr>
        <w:tblStyle w:val="TableGrid"/>
        <w:tblW w:type="auto" w:w="0"/>
        <w:tblLook w:firstColumn="1" w:firstRow="1" w:lastColumn="0" w:lastRow="0" w:noHBand="0" w:noVBand="1" w:val="04A0"/>
      </w:tblPr>
      <w:tblGrid>
        <w:gridCol w:w="9360"/>
      </w:tblGrid>
      <w:tr>
        <w:tc>
          <w:tcPr>
            <w:tcW w:type="dxa" w:w="9360"/>
            <w:shd w:val="clear" w:color="auto" w:fill="FEF2F2"/>
          </w:tcPr>
          <w:p>
            <w:pPr>
              <w:spacing w:before="40" w:after="80"/>
            </w:pPr>
            <w:r>
              <w:rPr>
                <w:b/>
                <w:color w:val="DC2626"/>
                <w:sz w:val="22"/>
              </w:rPr>
              <w:t>🏥  Special Category Data — Health Information</w:t>
            </w:r>
          </w:p>
          <w:p>
            <w:pPr>
              <w:spacing w:after="60"/>
            </w:pPr>
            <w:r>
              <w:rPr>
                <w:sz w:val="21"/>
              </w:rPr>
              <w:t>Step count data and GPS movement data may constitute health data under the DPA.</w:t>
            </w:r>
          </w:p>
          <w:p>
            <w:pPr>
              <w:spacing w:after="60"/>
            </w:pPr>
            <w:r>
              <w:rPr>
                <w:sz w:val="21"/>
              </w:rPr>
              <w:t>We collect this data solely to operate the step-challenge service you have signed up for.</w:t>
            </w:r>
          </w:p>
          <w:p>
            <w:pPr>
              <w:spacing w:after="60"/>
            </w:pPr>
            <w:r>
              <w:rPr>
                <w:sz w:val="21"/>
              </w:rPr>
            </w:r>
          </w:p>
          <w:p>
            <w:pPr>
              <w:spacing w:after="60"/>
            </w:pPr>
            <w:r>
              <w:rPr>
                <w:sz w:val="21"/>
              </w:rPr>
              <w:t>Legal basis:  Explicit consent given at registration, and contract performance.</w:t>
            </w:r>
          </w:p>
          <w:p>
            <w:pPr>
              <w:spacing w:after="60"/>
            </w:pPr>
            <w:r>
              <w:rPr>
                <w:sz w:val="21"/>
              </w:rPr>
              <w:t>We do not use health data for any purpose other than operating the Platform.</w:t>
            </w:r>
          </w:p>
          <w:p>
            <w:pPr>
              <w:spacing w:after="60"/>
            </w:pPr>
            <w:r>
              <w:rPr>
                <w:sz w:val="21"/>
              </w:rPr>
              <w:t>We do not sell, license, or transfer health data to any third party.</w:t>
            </w:r>
          </w:p>
          <w:p>
            <w:pPr>
              <w:spacing w:after="60"/>
            </w:pPr>
            <w:r>
              <w:rPr>
                <w:sz w:val="21"/>
              </w:rPr>
              <w:t>We do not use health data for insurance, employment, or profiling purposes.</w:t>
            </w:r>
          </w:p>
        </w:tc>
      </w:tr>
    </w:tbl>
    <w:p/>
    <w:p>
      <w:pPr>
        <w:spacing w:before="80" w:after="80"/>
        <w:pBdr>
          <w:bottom w:val="single" w:sz="4" w:space="1" w:color="DBEAFE"/>
        </w:pBdr>
      </w:pPr>
    </w:p>
    <w:p>
      <w:pPr>
        <w:spacing w:before="360" w:after="120"/>
      </w:pPr>
      <w:r>
        <w:rPr>
          <w:b/>
          <w:color w:val="1E40AF"/>
          <w:sz w:val="32"/>
        </w:rPr>
        <w:t>3.  HOW WE USE YOUR DATA</w:t>
      </w:r>
    </w:p>
    <w:p>
      <w:pPr>
        <w:spacing w:after="80"/>
      </w:pPr>
      <w:r>
        <w:rPr>
          <w:b/>
          <w:sz w:val="21"/>
        </w:rPr>
        <w:t xml:space="preserve">  Operating the Platform: </w:t>
      </w:r>
      <w:r>
        <w:rPr>
          <w:sz w:val="21"/>
        </w:rPr>
        <w:t>Authenticating your identity, processing challenge entries, recording step progress, and distributing payouts.</w:t>
      </w:r>
    </w:p>
    <w:p>
      <w:pPr>
        <w:spacing w:after="80"/>
      </w:pPr>
      <w:r>
        <w:rPr>
          <w:b/>
          <w:sz w:val="21"/>
        </w:rPr>
        <w:t xml:space="preserve">  Processing Payments: </w:t>
      </w:r>
      <w:r>
        <w:rPr>
          <w:sz w:val="21"/>
        </w:rPr>
        <w:t>Working with PochPay to process M-Pesa deposits and withdrawals associated with your account.</w:t>
      </w:r>
    </w:p>
    <w:p>
      <w:pPr>
        <w:spacing w:after="80"/>
      </w:pPr>
      <w:r>
        <w:rPr>
          <w:b/>
          <w:sz w:val="21"/>
        </w:rPr>
        <w:t xml:space="preserve">  Anti-Fraud and Fair Play: </w:t>
      </w:r>
      <w:r>
        <w:rPr>
          <w:sz w:val="21"/>
        </w:rPr>
        <w:t>Analysing step data patterns to detect cheating or manipulation. This is done to protect honest users and maintain the integrity of competitions.</w:t>
      </w:r>
    </w:p>
    <w:p>
      <w:pPr>
        <w:spacing w:after="80"/>
      </w:pPr>
      <w:r>
        <w:rPr>
          <w:b/>
          <w:sz w:val="21"/>
        </w:rPr>
        <w:t xml:space="preserve">  Customer Support: </w:t>
      </w:r>
      <w:r>
        <w:rPr>
          <w:sz w:val="21"/>
        </w:rPr>
        <w:t>Responding to your support requests, resolving disputes, and processing appeals.</w:t>
      </w:r>
    </w:p>
    <w:p>
      <w:pPr>
        <w:spacing w:after="80"/>
      </w:pPr>
      <w:r>
        <w:rPr>
          <w:b/>
          <w:sz w:val="21"/>
        </w:rPr>
        <w:t xml:space="preserve">  Security and Abuse Prevention: </w:t>
      </w:r>
      <w:r>
        <w:rPr>
          <w:sz w:val="21"/>
        </w:rPr>
        <w:t>Monitoring login patterns and activity for signs of unauthorised access or Terms violations.</w:t>
      </w:r>
    </w:p>
    <w:p>
      <w:pPr>
        <w:spacing w:after="80"/>
      </w:pPr>
      <w:r>
        <w:rPr>
          <w:b/>
          <w:sz w:val="21"/>
        </w:rPr>
        <w:t xml:space="preserve">  Legal Compliance: </w:t>
      </w:r>
      <w:r>
        <w:rPr>
          <w:sz w:val="21"/>
        </w:rPr>
        <w:t>Maintaining financial and transaction records as required by Kenyan law, and responding to lawful requests from courts or regulatory bodies.</w:t>
      </w:r>
    </w:p>
    <w:p>
      <w:pPr>
        <w:spacing w:after="80"/>
      </w:pPr>
      <w:r>
        <w:rPr>
          <w:b/>
          <w:sz w:val="21"/>
        </w:rPr>
        <w:t xml:space="preserve">  Platform Improvement: </w:t>
      </w:r>
      <w:r>
        <w:rPr>
          <w:sz w:val="21"/>
        </w:rPr>
        <w:t>Analysing anonymised usage patterns to improve app performance, fix bugs, and design better features. Individual users are never identifiable in this analysis.</w:t>
      </w:r>
    </w:p>
    <w:p>
      <w:pPr>
        <w:spacing w:after="80"/>
      </w:pPr>
      <w:r>
        <w:rPr>
          <w:b/>
          <w:sz w:val="21"/>
        </w:rPr>
        <w:t xml:space="preserve">  Communication: </w:t>
      </w:r>
      <w:r>
        <w:rPr>
          <w:sz w:val="21"/>
        </w:rPr>
        <w:t>Sending you essential service notifications (account updates, payout confirmations, security alerts). We do not send unsolicited marketing without your separate consent.</w:t>
      </w:r>
    </w:p>
    <w:p>
      <w:pPr>
        <w:spacing w:before="80" w:after="80"/>
        <w:pBdr>
          <w:bottom w:val="single" w:sz="4" w:space="1" w:color="DBEAFE"/>
        </w:pBdr>
      </w:pPr>
    </w:p>
    <w:p>
      <w:pPr>
        <w:spacing w:before="360" w:after="120"/>
      </w:pPr>
      <w:r>
        <w:rPr>
          <w:b/>
          <w:color w:val="1E40AF"/>
          <w:sz w:val="32"/>
        </w:rPr>
        <w:t>4.  WHO WE SHARE YOUR DATA WITH</w:t>
      </w:r>
    </w:p>
    <w:tbl>
      <w:tblPr>
        <w:tblStyle w:val="TableGrid"/>
        <w:tblW w:type="auto" w:w="0"/>
        <w:tblLook w:firstColumn="1" w:firstRow="1" w:lastColumn="0" w:lastRow="0" w:noHBand="0" w:noVBand="1" w:val="04A0"/>
      </w:tblPr>
      <w:tblGrid>
        <w:gridCol w:w="9360"/>
      </w:tblGrid>
      <w:tr>
        <w:tc>
          <w:tcPr>
            <w:tcW w:type="dxa" w:w="9360"/>
            <w:shd w:val="clear" w:color="auto" w:fill="ECFDF5"/>
          </w:tcPr>
          <w:p>
            <w:pPr>
              <w:spacing w:before="40" w:after="80"/>
            </w:pPr>
            <w:r>
              <w:rPr>
                <w:b/>
                <w:color w:val="059669"/>
                <w:sz w:val="22"/>
              </w:rPr>
              <w:t>🔒  We Do NOT Sell Your Data</w:t>
            </w:r>
          </w:p>
          <w:p>
            <w:pPr>
              <w:spacing w:after="60"/>
            </w:pPr>
            <w:r>
              <w:rPr>
                <w:sz w:val="21"/>
              </w:rPr>
              <w:t>Step2Win does not sell, rent, or license your personal data to any third party.</w:t>
            </w:r>
          </w:p>
          <w:p>
            <w:pPr>
              <w:spacing w:after="60"/>
            </w:pPr>
            <w:r>
              <w:rPr>
                <w:sz w:val="21"/>
              </w:rPr>
              <w:t>We share data only where strictly necessary to deliver the service.</w:t>
            </w:r>
          </w:p>
        </w:tc>
      </w:tr>
    </w:tbl>
    <w:p/>
    <w:p>
      <w:pPr>
        <w:spacing w:after="120"/>
        <w:ind w:left="0"/>
      </w:pPr>
      <w:r>
        <w:rPr>
          <w:sz w:val="21"/>
        </w:rPr>
        <w:t>We share your data with the following categories of third parties only:</w:t>
      </w:r>
    </w:p>
    <w:p>
      <w:pPr>
        <w:spacing w:after="100"/>
        <w:ind w:left="288"/>
      </w:pPr>
      <w:r>
        <w:rPr>
          <w:b/>
          <w:sz w:val="21"/>
        </w:rPr>
        <w:t xml:space="preserve">PochPay (Payment Processor): </w:t>
      </w:r>
      <w:r>
        <w:rPr>
          <w:sz w:val="21"/>
        </w:rPr>
        <w:t>We share your phone number and transaction amounts with PochPay to process M-Pesa payments. PochPay is contractually bound to use this data solely for payment processing.</w:t>
      </w:r>
    </w:p>
    <w:p>
      <w:pPr>
        <w:spacing w:after="100"/>
        <w:ind w:left="288"/>
      </w:pPr>
      <w:r>
        <w:rPr>
          <w:b/>
          <w:sz w:val="21"/>
        </w:rPr>
        <w:t xml:space="preserve">Fitness Device / Health Platforms (e.g., Google Fit, Apple Health): </w:t>
      </w:r>
      <w:r>
        <w:rPr>
          <w:sz w:val="21"/>
        </w:rPr>
        <w:t>We read step and location data from these platforms with your permission. We do not send your Step2Win data back to these platforms.</w:t>
      </w:r>
    </w:p>
    <w:p>
      <w:pPr>
        <w:spacing w:after="100"/>
        <w:ind w:left="288"/>
      </w:pPr>
      <w:r>
        <w:rPr>
          <w:b/>
          <w:sz w:val="21"/>
        </w:rPr>
        <w:t xml:space="preserve">Cloud Infrastructure Provider: </w:t>
      </w:r>
      <w:r>
        <w:rPr>
          <w:sz w:val="21"/>
        </w:rPr>
        <w:t>Our servers are hosted on a cloud platform. The provider processes data on our behalf under a data processing agreement. All data is stored with at least one copy on servers located in Kenya, in compliance with Section 48 of the DPA.</w:t>
      </w:r>
    </w:p>
    <w:p>
      <w:pPr>
        <w:spacing w:after="100"/>
        <w:ind w:left="288"/>
      </w:pPr>
      <w:r>
        <w:rPr>
          <w:b/>
          <w:sz w:val="21"/>
        </w:rPr>
        <w:t xml:space="preserve">Law Enforcement / Courts: </w:t>
      </w:r>
      <w:r>
        <w:rPr>
          <w:sz w:val="21"/>
        </w:rPr>
        <w:t>We will disclose your data if legally compelled by a Kenyan court order, lawful request from a government authority, or to prevent fraud or illegal activity. We will notify you of such requests where legally permitted to do so.</w:t>
      </w:r>
    </w:p>
    <w:p>
      <w:pPr>
        <w:spacing w:after="100"/>
        <w:ind w:left="288"/>
      </w:pPr>
      <w:r>
        <w:rPr>
          <w:b/>
          <w:sz w:val="21"/>
        </w:rPr>
        <w:t xml:space="preserve">Business Succession: </w:t>
      </w:r>
      <w:r>
        <w:rPr>
          <w:sz w:val="21"/>
        </w:rPr>
        <w:t>If Step2Win is acquired, merged, or transferred, your data may be transferred to the successor entity. You will be notified at least 30 days before any such transfer.</w:t>
      </w:r>
    </w:p>
    <w:p>
      <w:pPr>
        <w:spacing w:before="80" w:after="80"/>
        <w:pBdr>
          <w:bottom w:val="single" w:sz="4" w:space="1" w:color="DBEAFE"/>
        </w:pBdr>
      </w:pPr>
    </w:p>
    <w:p>
      <w:pPr>
        <w:spacing w:before="360" w:after="120"/>
      </w:pPr>
      <w:r>
        <w:rPr>
          <w:b/>
          <w:color w:val="1E40AF"/>
          <w:sz w:val="32"/>
        </w:rPr>
        <w:t>5.  CROSS-BORDER DATA TRANSFERS</w:t>
      </w:r>
    </w:p>
    <w:p>
      <w:pPr>
        <w:spacing w:after="120"/>
        <w:ind w:left="0"/>
      </w:pPr>
      <w:r>
        <w:rPr>
          <w:sz w:val="21"/>
        </w:rPr>
        <w:t>Under Section 48 of the Kenya Data Protection Act, we are required to maintain at least one serving copy of personal data on a server or data centre located in Kenya. We comply with this requirement.</w:t>
      </w:r>
    </w:p>
    <w:p>
      <w:pPr>
        <w:spacing w:after="120"/>
        <w:ind w:left="0"/>
      </w:pPr>
      <w:r>
        <w:rPr>
          <w:sz w:val="21"/>
        </w:rPr>
        <w:t>Where we use cloud services that may process or replicate data in other jurisdictions, we ensure appropriate safeguards are in place, including standard contractual clauses and confirmation that the recipient country maintains adequate data protection standards as required by the DPA.</w:t>
      </w:r>
    </w:p>
    <w:p>
      <w:pPr>
        <w:spacing w:before="80" w:after="80"/>
        <w:pBdr>
          <w:bottom w:val="single" w:sz="4" w:space="1" w:color="DBEAFE"/>
        </w:pBdr>
      </w:pPr>
    </w:p>
    <w:p>
      <w:pPr>
        <w:spacing w:before="360" w:after="120"/>
      </w:pPr>
      <w:r>
        <w:rPr>
          <w:b/>
          <w:color w:val="1E40AF"/>
          <w:sz w:val="32"/>
        </w:rPr>
        <w:t>6.  DATA RETENTION — HOW LONG WE KEEP YOUR DATA</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E40AF"/>
          </w:tcPr>
          <w:p>
            <w:r>
              <w:rPr>
                <w:b/>
                <w:color w:val="FFFFFF"/>
                <w:sz w:val="20"/>
              </w:rPr>
              <w:t>Data Type</w:t>
            </w:r>
          </w:p>
        </w:tc>
        <w:tc>
          <w:tcPr>
            <w:tcW w:type="dxa" w:w="3120"/>
            <w:shd w:val="clear" w:color="auto" w:fill="1E40AF"/>
          </w:tcPr>
          <w:p>
            <w:r>
              <w:rPr>
                <w:b/>
                <w:color w:val="FFFFFF"/>
                <w:sz w:val="20"/>
              </w:rPr>
              <w:t>Retention Period</w:t>
            </w:r>
          </w:p>
        </w:tc>
        <w:tc>
          <w:tcPr>
            <w:tcW w:type="dxa" w:w="3120"/>
            <w:shd w:val="clear" w:color="auto" w:fill="1E40AF"/>
          </w:tcPr>
          <w:p>
            <w:r>
              <w:rPr>
                <w:b/>
                <w:color w:val="FFFFFF"/>
                <w:sz w:val="20"/>
              </w:rPr>
              <w:t>Reason</w:t>
            </w:r>
          </w:p>
        </w:tc>
      </w:tr>
      <w:tr>
        <w:tc>
          <w:tcPr>
            <w:tcW w:type="dxa" w:w="3120"/>
            <w:shd w:val="clear" w:color="auto" w:fill="F9FAFB"/>
          </w:tcPr>
          <w:p>
            <w:r>
              <w:rPr>
                <w:sz w:val="20"/>
              </w:rPr>
              <w:t>Account &amp; profile data</w:t>
            </w:r>
          </w:p>
        </w:tc>
        <w:tc>
          <w:tcPr>
            <w:tcW w:type="dxa" w:w="3120"/>
            <w:shd w:val="clear" w:color="auto" w:fill="F9FAFB"/>
          </w:tcPr>
          <w:p>
            <w:r>
              <w:rPr>
                <w:sz w:val="20"/>
              </w:rPr>
              <w:t>Duration of account + 2 years after closure</w:t>
            </w:r>
          </w:p>
        </w:tc>
        <w:tc>
          <w:tcPr>
            <w:tcW w:type="dxa" w:w="3120"/>
            <w:shd w:val="clear" w:color="auto" w:fill="F9FAFB"/>
          </w:tcPr>
          <w:p>
            <w:r>
              <w:rPr>
                <w:sz w:val="20"/>
              </w:rPr>
              <w:t>Dispute resolution, legal compliance</w:t>
            </w:r>
          </w:p>
        </w:tc>
      </w:tr>
      <w:tr>
        <w:tc>
          <w:tcPr>
            <w:tcW w:type="dxa" w:w="3120"/>
            <w:shd w:val="clear" w:color="auto" w:fill="FFFFFF"/>
          </w:tcPr>
          <w:p>
            <w:r>
              <w:rPr>
                <w:sz w:val="20"/>
              </w:rPr>
              <w:t>Step / health data</w:t>
            </w:r>
          </w:p>
        </w:tc>
        <w:tc>
          <w:tcPr>
            <w:tcW w:type="dxa" w:w="3120"/>
            <w:shd w:val="clear" w:color="auto" w:fill="FFFFFF"/>
          </w:tcPr>
          <w:p>
            <w:r>
              <w:rPr>
                <w:sz w:val="20"/>
              </w:rPr>
              <w:t>Duration of account + 1 year after closure</w:t>
            </w:r>
          </w:p>
        </w:tc>
        <w:tc>
          <w:tcPr>
            <w:tcW w:type="dxa" w:w="3120"/>
            <w:shd w:val="clear" w:color="auto" w:fill="FFFFFF"/>
          </w:tcPr>
          <w:p>
            <w:r>
              <w:rPr>
                <w:sz w:val="20"/>
              </w:rPr>
              <w:t>Challenge integrity, appeals</w:t>
            </w:r>
          </w:p>
        </w:tc>
      </w:tr>
      <w:tr>
        <w:tc>
          <w:tcPr>
            <w:tcW w:type="dxa" w:w="3120"/>
            <w:shd w:val="clear" w:color="auto" w:fill="F9FAFB"/>
          </w:tcPr>
          <w:p>
            <w:r>
              <w:rPr>
                <w:sz w:val="20"/>
              </w:rPr>
              <w:t>Wallet &amp; transaction records</w:t>
            </w:r>
          </w:p>
        </w:tc>
        <w:tc>
          <w:tcPr>
            <w:tcW w:type="dxa" w:w="3120"/>
            <w:shd w:val="clear" w:color="auto" w:fill="F9FAFB"/>
          </w:tcPr>
          <w:p>
            <w:r>
              <w:rPr>
                <w:sz w:val="20"/>
              </w:rPr>
              <w:t>Minimum 7 years</w:t>
            </w:r>
          </w:p>
        </w:tc>
        <w:tc>
          <w:tcPr>
            <w:tcW w:type="dxa" w:w="3120"/>
            <w:shd w:val="clear" w:color="auto" w:fill="F9FAFB"/>
          </w:tcPr>
          <w:p>
            <w:r>
              <w:rPr>
                <w:sz w:val="20"/>
              </w:rPr>
              <w:t>Kenyan financial law requirements</w:t>
            </w:r>
          </w:p>
        </w:tc>
      </w:tr>
      <w:tr>
        <w:tc>
          <w:tcPr>
            <w:tcW w:type="dxa" w:w="3120"/>
            <w:shd w:val="clear" w:color="auto" w:fill="FFFFFF"/>
          </w:tcPr>
          <w:p>
            <w:r>
              <w:rPr>
                <w:sz w:val="20"/>
              </w:rPr>
              <w:t>Challenge results &amp; payouts</w:t>
            </w:r>
          </w:p>
        </w:tc>
        <w:tc>
          <w:tcPr>
            <w:tcW w:type="dxa" w:w="3120"/>
            <w:shd w:val="clear" w:color="auto" w:fill="FFFFFF"/>
          </w:tcPr>
          <w:p>
            <w:r>
              <w:rPr>
                <w:sz w:val="20"/>
              </w:rPr>
              <w:t>Minimum 7 years</w:t>
            </w:r>
          </w:p>
        </w:tc>
        <w:tc>
          <w:tcPr>
            <w:tcW w:type="dxa" w:w="3120"/>
            <w:shd w:val="clear" w:color="auto" w:fill="FFFFFF"/>
          </w:tcPr>
          <w:p>
            <w:r>
              <w:rPr>
                <w:sz w:val="20"/>
              </w:rPr>
              <w:t>Financial audit trail, user disputes</w:t>
            </w:r>
          </w:p>
        </w:tc>
      </w:tr>
      <w:tr>
        <w:tc>
          <w:tcPr>
            <w:tcW w:type="dxa" w:w="3120"/>
            <w:shd w:val="clear" w:color="auto" w:fill="F9FAFB"/>
          </w:tcPr>
          <w:p>
            <w:r>
              <w:rPr>
                <w:sz w:val="20"/>
              </w:rPr>
              <w:t>Group chat messages</w:t>
            </w:r>
          </w:p>
        </w:tc>
        <w:tc>
          <w:tcPr>
            <w:tcW w:type="dxa" w:w="3120"/>
            <w:shd w:val="clear" w:color="auto" w:fill="F9FAFB"/>
          </w:tcPr>
          <w:p>
            <w:r>
              <w:rPr>
                <w:sz w:val="20"/>
              </w:rPr>
              <w:t>2 years from message date</w:t>
            </w:r>
          </w:p>
        </w:tc>
        <w:tc>
          <w:tcPr>
            <w:tcW w:type="dxa" w:w="3120"/>
            <w:shd w:val="clear" w:color="auto" w:fill="F9FAFB"/>
          </w:tcPr>
          <w:p>
            <w:r>
              <w:rPr>
                <w:sz w:val="20"/>
              </w:rPr>
              <w:t>Moderation, abuse investigations</w:t>
            </w:r>
          </w:p>
        </w:tc>
      </w:tr>
      <w:tr>
        <w:tc>
          <w:tcPr>
            <w:tcW w:type="dxa" w:w="3120"/>
            <w:shd w:val="clear" w:color="auto" w:fill="FFFFFF"/>
          </w:tcPr>
          <w:p>
            <w:r>
              <w:rPr>
                <w:sz w:val="20"/>
              </w:rPr>
              <w:t>Anti-cheat investigation records</w:t>
            </w:r>
          </w:p>
        </w:tc>
        <w:tc>
          <w:tcPr>
            <w:tcW w:type="dxa" w:w="3120"/>
            <w:shd w:val="clear" w:color="auto" w:fill="FFFFFF"/>
          </w:tcPr>
          <w:p>
            <w:r>
              <w:rPr>
                <w:sz w:val="20"/>
              </w:rPr>
              <w:t>5 years from incident date</w:t>
            </w:r>
          </w:p>
        </w:tc>
        <w:tc>
          <w:tcPr>
            <w:tcW w:type="dxa" w:w="3120"/>
            <w:shd w:val="clear" w:color="auto" w:fill="FFFFFF"/>
          </w:tcPr>
          <w:p>
            <w:r>
              <w:rPr>
                <w:sz w:val="20"/>
              </w:rPr>
              <w:t>Fraud prevention and legal claims</w:t>
            </w:r>
          </w:p>
        </w:tc>
      </w:tr>
      <w:tr>
        <w:tc>
          <w:tcPr>
            <w:tcW w:type="dxa" w:w="3120"/>
            <w:shd w:val="clear" w:color="auto" w:fill="F9FAFB"/>
          </w:tcPr>
          <w:p>
            <w:r>
              <w:rPr>
                <w:sz w:val="20"/>
              </w:rPr>
              <w:t>Login and access logs</w:t>
            </w:r>
          </w:p>
        </w:tc>
        <w:tc>
          <w:tcPr>
            <w:tcW w:type="dxa" w:w="3120"/>
            <w:shd w:val="clear" w:color="auto" w:fill="F9FAFB"/>
          </w:tcPr>
          <w:p>
            <w:r>
              <w:rPr>
                <w:sz w:val="20"/>
              </w:rPr>
              <w:t>1 year</w:t>
            </w:r>
          </w:p>
        </w:tc>
        <w:tc>
          <w:tcPr>
            <w:tcW w:type="dxa" w:w="3120"/>
            <w:shd w:val="clear" w:color="auto" w:fill="F9FAFB"/>
          </w:tcPr>
          <w:p>
            <w:r>
              <w:rPr>
                <w:sz w:val="20"/>
              </w:rPr>
              <w:t>Security monitoring</w:t>
            </w:r>
          </w:p>
        </w:tc>
      </w:tr>
      <w:tr>
        <w:tc>
          <w:tcPr>
            <w:tcW w:type="dxa" w:w="3120"/>
            <w:shd w:val="clear" w:color="auto" w:fill="FFFFFF"/>
          </w:tcPr>
          <w:p>
            <w:r>
              <w:rPr>
                <w:sz w:val="20"/>
              </w:rPr>
              <w:t>Support communications</w:t>
            </w:r>
          </w:p>
        </w:tc>
        <w:tc>
          <w:tcPr>
            <w:tcW w:type="dxa" w:w="3120"/>
            <w:shd w:val="clear" w:color="auto" w:fill="FFFFFF"/>
          </w:tcPr>
          <w:p>
            <w:r>
              <w:rPr>
                <w:sz w:val="20"/>
              </w:rPr>
              <w:t>3 years from resolution</w:t>
            </w:r>
          </w:p>
        </w:tc>
        <w:tc>
          <w:tcPr>
            <w:tcW w:type="dxa" w:w="3120"/>
            <w:shd w:val="clear" w:color="auto" w:fill="FFFFFF"/>
          </w:tcPr>
          <w:p>
            <w:r>
              <w:rPr>
                <w:sz w:val="20"/>
              </w:rPr>
              <w:t>Dispute history</w:t>
            </w:r>
          </w:p>
        </w:tc>
      </w:tr>
    </w:tbl>
    <w:p/>
    <w:p>
      <w:pPr>
        <w:spacing w:after="120"/>
        <w:ind w:left="0"/>
      </w:pPr>
      <w:r>
        <w:rPr>
          <w:sz w:val="21"/>
        </w:rPr>
        <w:t>After the applicable retention period, data is permanently deleted or anonymised. Anonymised data (from which you can no longer be identified) may be retained indefinitely for statistical and research purposes.</w:t>
      </w:r>
    </w:p>
    <w:p>
      <w:pPr>
        <w:spacing w:before="80" w:after="80"/>
        <w:pBdr>
          <w:bottom w:val="single" w:sz="4" w:space="1" w:color="DBEAFE"/>
        </w:pBdr>
      </w:pPr>
    </w:p>
    <w:p>
      <w:pPr>
        <w:spacing w:before="360" w:after="120"/>
      </w:pPr>
      <w:r>
        <w:rPr>
          <w:b/>
          <w:color w:val="1E40AF"/>
          <w:sz w:val="32"/>
        </w:rPr>
        <w:t>7.  YOUR RIGHTS UNDER THE DATA PROTECTION ACT, 2019</w:t>
      </w:r>
    </w:p>
    <w:p>
      <w:pPr>
        <w:spacing w:after="120"/>
        <w:ind w:left="0"/>
      </w:pPr>
      <w:r>
        <w:rPr>
          <w:sz w:val="21"/>
        </w:rPr>
        <w:t>The Kenya Data Protection Act grants you the following rights over your personal data. To exercise any of these rights, email privacy@step2win.co.ke. We will respond within 7 days as required by the Data Protection (General) Regulations, 2021.</w:t>
      </w:r>
    </w:p>
    <w:p>
      <w:pPr>
        <w:spacing w:after="100"/>
        <w:ind w:left="288"/>
      </w:pPr>
      <w:r>
        <w:rPr>
          <w:b/>
          <w:sz w:val="21"/>
        </w:rPr>
        <w:t xml:space="preserve">Right to Be Informed: </w:t>
      </w:r>
      <w:r>
        <w:rPr>
          <w:sz w:val="21"/>
        </w:rPr>
        <w:t>You have the right to know what data we collect about you, why, and how it is used. This Privacy Policy is our primary means of fulfilling this obligation.</w:t>
      </w:r>
    </w:p>
    <w:p>
      <w:pPr>
        <w:spacing w:after="100"/>
        <w:ind w:left="288"/>
      </w:pPr>
      <w:r>
        <w:rPr>
          <w:b/>
          <w:sz w:val="21"/>
        </w:rPr>
        <w:t xml:space="preserve">Right of Access: </w:t>
      </w:r>
      <w:r>
        <w:rPr>
          <w:sz w:val="21"/>
        </w:rPr>
        <w:t>You may request a copy of all personal data we hold about you. We will provide this within 7 days of your request, in a readable format.</w:t>
      </w:r>
    </w:p>
    <w:p>
      <w:pPr>
        <w:spacing w:after="100"/>
        <w:ind w:left="288"/>
      </w:pPr>
      <w:r>
        <w:rPr>
          <w:b/>
          <w:sz w:val="21"/>
        </w:rPr>
        <w:t xml:space="preserve">Right to Rectification: </w:t>
      </w:r>
      <w:r>
        <w:rPr>
          <w:sz w:val="21"/>
        </w:rPr>
        <w:t>If any of your data is inaccurate or incomplete, you have the right to have it corrected. You can update your username and email directly in the app. For other corrections, contact privacy@step2win.co.ke.</w:t>
      </w:r>
    </w:p>
    <w:p>
      <w:pPr>
        <w:spacing w:after="100"/>
        <w:ind w:left="288"/>
      </w:pPr>
      <w:r>
        <w:rPr>
          <w:b/>
          <w:sz w:val="21"/>
        </w:rPr>
        <w:t xml:space="preserve">Right to Erasure ("Right to Be Forgotten"): </w:t>
      </w:r>
      <w:r>
        <w:rPr>
          <w:sz w:val="21"/>
        </w:rPr>
        <w:t>You may request deletion of your personal data. We will comply, except where retention is required by law (e.g., financial transaction records) or where the data is necessary to resolve an outstanding dispute. Note: deleting your account will result in permanent loss of all Challenge history and Wallet balance that cannot be withdrawn.</w:t>
      </w:r>
    </w:p>
    <w:p>
      <w:pPr>
        <w:spacing w:after="100"/>
        <w:ind w:left="288"/>
      </w:pPr>
      <w:r>
        <w:rPr>
          <w:b/>
          <w:sz w:val="21"/>
        </w:rPr>
        <w:t xml:space="preserve">Right to Object: </w:t>
      </w:r>
      <w:r>
        <w:rPr>
          <w:sz w:val="21"/>
        </w:rPr>
        <w:t>You may object to processing based on legitimate interests (e.g., analytics). We will cease such processing unless we have compelling grounds that override your interests.</w:t>
      </w:r>
    </w:p>
    <w:p>
      <w:pPr>
        <w:spacing w:after="100"/>
        <w:ind w:left="288"/>
      </w:pPr>
      <w:r>
        <w:rPr>
          <w:b/>
          <w:sz w:val="21"/>
        </w:rPr>
        <w:t xml:space="preserve">Right to Data Portability: </w:t>
      </w:r>
      <w:r>
        <w:rPr>
          <w:sz w:val="21"/>
        </w:rPr>
        <w:t>You may request your data in a machine-readable format (JSON or CSV) to transfer to another service. This applies to data you provided directly (account and step data).</w:t>
      </w:r>
    </w:p>
    <w:p>
      <w:pPr>
        <w:spacing w:after="100"/>
        <w:ind w:left="288"/>
      </w:pPr>
      <w:r>
        <w:rPr>
          <w:b/>
          <w:sz w:val="21"/>
        </w:rPr>
        <w:t xml:space="preserve">Right to Withdraw Consent: </w:t>
      </w:r>
      <w:r>
        <w:rPr>
          <w:sz w:val="21"/>
        </w:rPr>
        <w:t>Where processing is based on consent (e.g., GPS tracking), you may withdraw consent at any time through app settings. Withdrawal of consent will not affect the lawfulness of prior processing.</w:t>
      </w:r>
    </w:p>
    <w:p>
      <w:pPr>
        <w:spacing w:after="100"/>
        <w:ind w:left="288"/>
      </w:pPr>
      <w:r>
        <w:rPr>
          <w:b/>
          <w:sz w:val="21"/>
        </w:rPr>
        <w:t xml:space="preserve">Right to Lodge a Complaint: </w:t>
      </w:r>
      <w:r>
        <w:rPr>
          <w:sz w:val="21"/>
        </w:rPr>
        <w:t>If you are unsatisfied with how we handle your data, you have the right to lodge a complaint with the Office of the Data Protection Commissioner (ODPC) Kenya at www.odpc.go.ke or by calling the ODPC helpline.</w:t>
      </w:r>
    </w:p>
    <w:p>
      <w:pPr>
        <w:spacing w:before="80" w:after="80"/>
        <w:pBdr>
          <w:bottom w:val="single" w:sz="4" w:space="1" w:color="DBEAFE"/>
        </w:pBdr>
      </w:pPr>
    </w:p>
    <w:p>
      <w:pPr>
        <w:spacing w:before="360" w:after="120"/>
      </w:pPr>
      <w:r>
        <w:rPr>
          <w:b/>
          <w:color w:val="1E40AF"/>
          <w:sz w:val="32"/>
        </w:rPr>
        <w:t>8.  HOW WE PROTECT YOUR DATA</w:t>
      </w:r>
    </w:p>
    <w:p>
      <w:pPr>
        <w:spacing w:after="120"/>
        <w:ind w:left="0"/>
      </w:pPr>
      <w:r>
        <w:rPr>
          <w:sz w:val="21"/>
        </w:rPr>
        <w:t>We implement technical and organisational security measures to protect your personal data against unauthorised access, disclosure, alteration, and destruction:</w:t>
      </w:r>
    </w:p>
    <w:p>
      <w:pPr>
        <w:pStyle w:val="ListBullet"/>
        <w:spacing w:after="60"/>
        <w:ind w:left="432"/>
      </w:pPr>
      <w:r>
        <w:rPr>
          <w:sz w:val="21"/>
        </w:rPr>
        <w:t>Passwords are stored using industry-standard one-way cryptographic hashing (bcrypt/PBKDF2).</w:t>
      </w:r>
    </w:p>
    <w:p>
      <w:pPr>
        <w:pStyle w:val="ListBullet"/>
        <w:spacing w:after="60"/>
        <w:ind w:left="432"/>
      </w:pPr>
      <w:r>
        <w:rPr>
          <w:sz w:val="21"/>
        </w:rPr>
        <w:t>All data transmitted between your device and our servers is encrypted using TLS 1.2 or higher.</w:t>
      </w:r>
    </w:p>
    <w:p>
      <w:pPr>
        <w:pStyle w:val="ListBullet"/>
        <w:spacing w:after="60"/>
        <w:ind w:left="432"/>
      </w:pPr>
      <w:r>
        <w:rPr>
          <w:sz w:val="21"/>
        </w:rPr>
        <w:t>API endpoints are protected by JWT authentication with 1-hour access token expiry.</w:t>
      </w:r>
    </w:p>
    <w:p>
      <w:pPr>
        <w:pStyle w:val="ListBullet"/>
        <w:spacing w:after="60"/>
        <w:ind w:left="432"/>
      </w:pPr>
      <w:r>
        <w:rPr>
          <w:sz w:val="21"/>
        </w:rPr>
        <w:t>Database access is restricted to authorised application services only; direct access requires MFA.</w:t>
      </w:r>
    </w:p>
    <w:p>
      <w:pPr>
        <w:pStyle w:val="ListBullet"/>
        <w:spacing w:after="60"/>
        <w:ind w:left="432"/>
      </w:pPr>
      <w:r>
        <w:rPr>
          <w:sz w:val="21"/>
        </w:rPr>
        <w:t>Step2Win staff with access to production data are subject to confidentiality agreements.</w:t>
      </w:r>
    </w:p>
    <w:p>
      <w:pPr>
        <w:pStyle w:val="ListBullet"/>
        <w:spacing w:after="60"/>
        <w:ind w:left="432"/>
      </w:pPr>
      <w:r>
        <w:rPr>
          <w:sz w:val="21"/>
        </w:rPr>
        <w:t>We conduct regular security reviews and respond to identified vulnerabilities promptly.</w:t>
      </w:r>
    </w:p>
    <w:p>
      <w:pPr>
        <w:pStyle w:val="ListBullet"/>
        <w:spacing w:after="60"/>
        <w:ind w:left="432"/>
      </w:pPr>
      <w:r>
        <w:rPr>
          <w:sz w:val="21"/>
        </w:rPr>
        <w:t>Redis-based session data is stored securely and automatically expires.</w:t>
      </w:r>
    </w:p>
    <w:p>
      <w:pPr>
        <w:spacing w:before="240" w:after="120"/>
      </w:pPr>
      <w:r>
        <w:rPr>
          <w:b/>
          <w:color w:val="1E40AF"/>
          <w:sz w:val="26"/>
        </w:rPr>
        <w:t>8.1  Data Breach Notification</w:t>
      </w:r>
    </w:p>
    <w:p>
      <w:pPr>
        <w:spacing w:after="120"/>
        <w:ind w:left="0"/>
      </w:pPr>
      <w:r>
        <w:rPr>
          <w:sz w:val="21"/>
        </w:rPr>
        <w:t>In the event of a personal data breach that poses a real risk of harm to you, we will notify the ODPC within 72 hours of becoming aware of the breach, as required by the DPA. We will also notify you directly if the breach is likely to result in high risk to your rights and freedoms, without undue delay.</w:t>
      </w:r>
    </w:p>
    <w:p>
      <w:pPr>
        <w:spacing w:before="80" w:after="80"/>
        <w:pBdr>
          <w:bottom w:val="single" w:sz="4" w:space="1" w:color="DBEAFE"/>
        </w:pBdr>
      </w:pPr>
    </w:p>
    <w:p>
      <w:pPr>
        <w:spacing w:before="360" w:after="120"/>
      </w:pPr>
      <w:r>
        <w:rPr>
          <w:b/>
          <w:color w:val="1E40AF"/>
          <w:sz w:val="32"/>
        </w:rPr>
        <w:t>9.  COOKIES AND TRACKING</w:t>
      </w:r>
    </w:p>
    <w:p>
      <w:pPr>
        <w:spacing w:after="120"/>
        <w:ind w:left="0"/>
      </w:pPr>
      <w:r>
        <w:rPr>
          <w:sz w:val="21"/>
        </w:rPr>
        <w:t>The Step2Win mobile application does not use browser cookies. We use in-app session tokens (JWT) to maintain your login state. These tokens are stored securely in your device's secure storage and are automatically invalidated after 1 hour (access token) or 7 days (refresh token).</w:t>
      </w:r>
    </w:p>
    <w:p>
      <w:pPr>
        <w:spacing w:after="120"/>
        <w:ind w:left="0"/>
      </w:pPr>
      <w:r>
        <w:rPr>
          <w:sz w:val="21"/>
        </w:rPr>
        <w:t>We do not use third-party advertising trackers, social media pixels, or analytics SDKs that report your behaviour to external parties.</w:t>
      </w:r>
    </w:p>
    <w:p>
      <w:pPr>
        <w:spacing w:before="80" w:after="80"/>
        <w:pBdr>
          <w:bottom w:val="single" w:sz="4" w:space="1" w:color="DBEAFE"/>
        </w:pBdr>
      </w:pPr>
    </w:p>
    <w:p>
      <w:pPr>
        <w:spacing w:before="360" w:after="120"/>
      </w:pPr>
      <w:r>
        <w:rPr>
          <w:b/>
          <w:color w:val="1E40AF"/>
          <w:sz w:val="32"/>
        </w:rPr>
        <w:t>10.  CHILDREN'S DATA</w:t>
      </w:r>
    </w:p>
    <w:p>
      <w:pPr>
        <w:spacing w:after="120"/>
        <w:ind w:left="0"/>
      </w:pPr>
      <w:r>
        <w:rPr>
          <w:sz w:val="21"/>
        </w:rPr>
        <w:t>Step2Win is strictly for users aged 18 and above. We do not knowingly collect personal data from persons under 18 years of age. If we discover that we have inadvertently collected data from a minor, we will delete it immediately and block the associated account. Parents or guardians who believe a minor has registered must contact privacy@step2win.co.ke immediately.</w:t>
      </w:r>
    </w:p>
    <w:p>
      <w:pPr>
        <w:spacing w:before="80" w:after="80"/>
        <w:pBdr>
          <w:bottom w:val="single" w:sz="4" w:space="1" w:color="DBEAFE"/>
        </w:pBdr>
      </w:pPr>
    </w:p>
    <w:p>
      <w:pPr>
        <w:spacing w:before="360" w:after="120"/>
      </w:pPr>
      <w:r>
        <w:rPr>
          <w:b/>
          <w:color w:val="1E40AF"/>
          <w:sz w:val="32"/>
        </w:rPr>
        <w:t>11.  THIRD-PARTY SERVICES</w:t>
      </w:r>
    </w:p>
    <w:p>
      <w:pPr>
        <w:spacing w:after="120"/>
        <w:ind w:left="0"/>
      </w:pPr>
      <w:r>
        <w:rPr>
          <w:sz w:val="21"/>
        </w:rPr>
        <w:t>The Platform integrates with third-party services. Each has its own privacy policy: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E40AF"/>
          </w:tcPr>
          <w:p>
            <w:r>
              <w:rPr>
                <w:b/>
                <w:color w:val="FFFFFF"/>
                <w:sz w:val="20"/>
              </w:rPr>
              <w:t>Service</w:t>
            </w:r>
          </w:p>
        </w:tc>
        <w:tc>
          <w:tcPr>
            <w:tcW w:type="dxa" w:w="3120"/>
            <w:shd w:val="clear" w:color="auto" w:fill="1E40AF"/>
          </w:tcPr>
          <w:p>
            <w:r>
              <w:rPr>
                <w:b/>
                <w:color w:val="FFFFFF"/>
                <w:sz w:val="20"/>
              </w:rPr>
              <w:t>Purpose</w:t>
            </w:r>
          </w:p>
        </w:tc>
        <w:tc>
          <w:tcPr>
            <w:tcW w:type="dxa" w:w="3120"/>
            <w:shd w:val="clear" w:color="auto" w:fill="1E40AF"/>
          </w:tcPr>
          <w:p>
            <w:r>
              <w:rPr>
                <w:b/>
                <w:color w:val="FFFFFF"/>
                <w:sz w:val="20"/>
              </w:rPr>
              <w:t>Privacy Policy</w:t>
            </w:r>
          </w:p>
        </w:tc>
      </w:tr>
      <w:tr>
        <w:tc>
          <w:tcPr>
            <w:tcW w:type="dxa" w:w="3120"/>
            <w:shd w:val="clear" w:color="auto" w:fill="F9FAFB"/>
          </w:tcPr>
          <w:p>
            <w:r>
              <w:rPr>
                <w:sz w:val="20"/>
              </w:rPr>
              <w:t>M-Pesa / Safaricom</w:t>
            </w:r>
          </w:p>
        </w:tc>
        <w:tc>
          <w:tcPr>
            <w:tcW w:type="dxa" w:w="3120"/>
            <w:shd w:val="clear" w:color="auto" w:fill="F9FAFB"/>
          </w:tcPr>
          <w:p>
            <w:r>
              <w:rPr>
                <w:sz w:val="20"/>
              </w:rPr>
              <w:t>Mobile money payment processing</w:t>
            </w:r>
          </w:p>
        </w:tc>
        <w:tc>
          <w:tcPr>
            <w:tcW w:type="dxa" w:w="3120"/>
            <w:shd w:val="clear" w:color="auto" w:fill="F9FAFB"/>
          </w:tcPr>
          <w:p>
            <w:r>
              <w:rPr>
                <w:sz w:val="20"/>
              </w:rPr>
              <w:t>www.safaricom.co.ke/privacy-policy</w:t>
            </w:r>
          </w:p>
        </w:tc>
      </w:tr>
      <w:tr>
        <w:tc>
          <w:tcPr>
            <w:tcW w:type="dxa" w:w="3120"/>
            <w:shd w:val="clear" w:color="auto" w:fill="FFFFFF"/>
          </w:tcPr>
          <w:p>
            <w:r>
              <w:rPr>
                <w:sz w:val="20"/>
              </w:rPr>
              <w:t>PochPay</w:t>
            </w:r>
          </w:p>
        </w:tc>
        <w:tc>
          <w:tcPr>
            <w:tcW w:type="dxa" w:w="3120"/>
            <w:shd w:val="clear" w:color="auto" w:fill="FFFFFF"/>
          </w:tcPr>
          <w:p>
            <w:r>
              <w:rPr>
                <w:sz w:val="20"/>
              </w:rPr>
              <w:t>Payment API gateway</w:t>
            </w:r>
          </w:p>
        </w:tc>
        <w:tc>
          <w:tcPr>
            <w:tcW w:type="dxa" w:w="3120"/>
            <w:shd w:val="clear" w:color="auto" w:fill="FFFFFF"/>
          </w:tcPr>
          <w:p>
            <w:r>
              <w:rPr>
                <w:sz w:val="20"/>
              </w:rPr>
              <w:t>https://pochipay.com/privacy</w:t>
            </w:r>
          </w:p>
        </w:tc>
      </w:tr>
      <w:tr>
        <w:tc>
          <w:tcPr>
            <w:tcW w:type="dxa" w:w="3120"/>
            <w:shd w:val="clear" w:color="auto" w:fill="F9FAFB"/>
          </w:tcPr>
          <w:p>
            <w:r>
              <w:rPr>
                <w:sz w:val="20"/>
              </w:rPr>
              <w:t>Google Fit / Apple Health</w:t>
            </w:r>
          </w:p>
        </w:tc>
        <w:tc>
          <w:tcPr>
            <w:tcW w:type="dxa" w:w="3120"/>
            <w:shd w:val="clear" w:color="auto" w:fill="F9FAFB"/>
          </w:tcPr>
          <w:p>
            <w:r>
              <w:rPr>
                <w:sz w:val="20"/>
              </w:rPr>
              <w:t>Step data integration (optional; user-connected)</w:t>
            </w:r>
          </w:p>
        </w:tc>
        <w:tc>
          <w:tcPr>
            <w:tcW w:type="dxa" w:w="3120"/>
            <w:shd w:val="clear" w:color="auto" w:fill="F9FAFB"/>
          </w:tcPr>
          <w:p>
            <w:r>
              <w:rPr>
                <w:sz w:val="20"/>
              </w:rPr>
              <w:t>Per respective platform policy</w:t>
            </w:r>
          </w:p>
        </w:tc>
      </w:tr>
      <w:tr>
        <w:tc>
          <w:tcPr>
            <w:tcW w:type="dxa" w:w="3120"/>
            <w:shd w:val="clear" w:color="auto" w:fill="FFFFFF"/>
          </w:tcPr>
          <w:p>
            <w:r>
              <w:rPr>
                <w:sz w:val="20"/>
              </w:rPr>
              <w:t>OpenStreetMap / Leaflet</w:t>
            </w:r>
          </w:p>
        </w:tc>
        <w:tc>
          <w:tcPr>
            <w:tcW w:type="dxa" w:w="3120"/>
            <w:shd w:val="clear" w:color="auto" w:fill="FFFFFF"/>
          </w:tcPr>
          <w:p>
            <w:r>
              <w:rPr>
                <w:sz w:val="20"/>
              </w:rPr>
              <w:t>Mapping for day detail route display</w:t>
            </w:r>
          </w:p>
        </w:tc>
        <w:tc>
          <w:tcPr>
            <w:tcW w:type="dxa" w:w="3120"/>
            <w:shd w:val="clear" w:color="auto" w:fill="FFFFFF"/>
          </w:tcPr>
          <w:p>
            <w:r>
              <w:rPr>
                <w:sz w:val="20"/>
              </w:rPr>
              <w:t>www.openstreetmap.org/privacy</w:t>
            </w:r>
          </w:p>
        </w:tc>
      </w:tr>
    </w:tbl>
    <w:p/>
    <w:p>
      <w:pPr>
        <w:spacing w:before="80" w:after="80"/>
        <w:pBdr>
          <w:bottom w:val="single" w:sz="4" w:space="1" w:color="DBEAFE"/>
        </w:pBdr>
      </w:pPr>
    </w:p>
    <w:p>
      <w:pPr>
        <w:spacing w:before="360" w:after="120"/>
      </w:pPr>
      <w:r>
        <w:rPr>
          <w:b/>
          <w:color w:val="1E40AF"/>
          <w:sz w:val="32"/>
        </w:rPr>
        <w:t>12.  GPS AND LOCATION DATA — DETAILED NOTICE</w:t>
      </w:r>
    </w:p>
    <w:tbl>
      <w:tblPr>
        <w:tblStyle w:val="TableGrid"/>
        <w:tblW w:type="auto" w:w="0"/>
        <w:tblLook w:firstColumn="1" w:firstRow="1" w:lastColumn="0" w:lastRow="0" w:noHBand="0" w:noVBand="1" w:val="04A0"/>
      </w:tblPr>
      <w:tblGrid>
        <w:gridCol w:w="9360"/>
      </w:tblGrid>
      <w:tr>
        <w:tc>
          <w:tcPr>
            <w:tcW w:type="dxa" w:w="9360"/>
            <w:shd w:val="clear" w:color="auto" w:fill="F5F3FF"/>
          </w:tcPr>
          <w:p>
            <w:pPr>
              <w:spacing w:before="40" w:after="80"/>
            </w:pPr>
            <w:r>
              <w:rPr>
                <w:b/>
                <w:color w:val="7C3AED"/>
                <w:sz w:val="22"/>
              </w:rPr>
              <w:t>📍  Location Data Transparency</w:t>
            </w:r>
          </w:p>
          <w:p>
            <w:pPr>
              <w:spacing w:after="60"/>
            </w:pPr>
            <w:r>
              <w:rPr>
                <w:sz w:val="21"/>
              </w:rPr>
              <w:t>Step2Win requests access to your device location for the following specific purpose ONLY:</w:t>
            </w:r>
          </w:p>
          <w:p>
            <w:pPr>
              <w:spacing w:after="60"/>
            </w:pPr>
            <w:r>
              <w:rPr>
                <w:sz w:val="21"/>
              </w:rPr>
            </w:r>
          </w:p>
          <w:p>
            <w:pPr>
              <w:spacing w:after="60"/>
            </w:pPr>
            <w:r>
              <w:rPr>
                <w:sz w:val="21"/>
              </w:rPr>
              <w:t>→  To provide GPS-verified step counts that are more resistant to fraud and manipulation.</w:t>
            </w:r>
          </w:p>
          <w:p>
            <w:pPr>
              <w:spacing w:after="60"/>
            </w:pPr>
            <w:r>
              <w:rPr>
                <w:sz w:val="21"/>
              </w:rPr>
            </w:r>
          </w:p>
          <w:p>
            <w:pPr>
              <w:spacing w:after="60"/>
            </w:pPr>
            <w:r>
              <w:rPr>
                <w:sz w:val="21"/>
              </w:rPr>
              <w:t>We DO NOT:</w:t>
            </w:r>
          </w:p>
          <w:p>
            <w:pPr>
              <w:spacing w:after="60"/>
            </w:pPr>
            <w:r>
              <w:rPr>
                <w:sz w:val="21"/>
              </w:rPr>
              <w:t xml:space="preserve">  • Track your real-time location continuously when you are not actively walking for a challenge.</w:t>
            </w:r>
          </w:p>
          <w:p>
            <w:pPr>
              <w:spacing w:after="60"/>
            </w:pPr>
            <w:r>
              <w:rPr>
                <w:sz w:val="21"/>
              </w:rPr>
              <w:t xml:space="preserve">  • Share your location history with any third party for advertising or profiling purposes.</w:t>
            </w:r>
          </w:p>
          <w:p>
            <w:pPr>
              <w:spacing w:after="60"/>
            </w:pPr>
            <w:r>
              <w:rPr>
                <w:sz w:val="21"/>
              </w:rPr>
              <w:t xml:space="preserve">  • Build a movement profile or share your whereabouts with other users.</w:t>
            </w:r>
          </w:p>
          <w:p>
            <w:pPr>
              <w:spacing w:after="60"/>
            </w:pPr>
            <w:r>
              <w:rPr>
                <w:sz w:val="21"/>
              </w:rPr>
            </w:r>
          </w:p>
          <w:p>
            <w:pPr>
              <w:spacing w:after="60"/>
            </w:pPr>
            <w:r>
              <w:rPr>
                <w:sz w:val="21"/>
              </w:rPr>
              <w:t>You can revoke location permissions at any time in your device settings.</w:t>
            </w:r>
          </w:p>
          <w:p>
            <w:pPr>
              <w:spacing w:after="60"/>
            </w:pPr>
            <w:r>
              <w:rPr>
                <w:sz w:val="21"/>
              </w:rPr>
              <w:t>Revoking location permission means your steps will still count but will not be GPS-verified.</w:t>
            </w:r>
          </w:p>
          <w:p>
            <w:pPr>
              <w:spacing w:after="60"/>
            </w:pPr>
            <w:r>
              <w:rPr>
                <w:sz w:val="21"/>
              </w:rPr>
              <w:t>GPS-unverified steps are treated as slightly less reliable by our anti-cheat system.</w:t>
            </w:r>
          </w:p>
        </w:tc>
      </w:tr>
    </w:tbl>
    <w:p/>
    <w:p>
      <w:pPr>
        <w:spacing w:before="80" w:after="80"/>
        <w:pBdr>
          <w:bottom w:val="single" w:sz="4" w:space="1" w:color="DBEAFE"/>
        </w:pBdr>
      </w:pPr>
    </w:p>
    <w:p>
      <w:pPr>
        <w:spacing w:before="360" w:after="120"/>
      </w:pPr>
      <w:r>
        <w:rPr>
          <w:b/>
          <w:color w:val="1E40AF"/>
          <w:sz w:val="32"/>
        </w:rPr>
        <w:t>13.  CHANGES TO THIS PRIVACY POLICY</w:t>
      </w:r>
    </w:p>
    <w:p>
      <w:pPr>
        <w:spacing w:after="120"/>
        <w:ind w:left="0"/>
      </w:pPr>
      <w:r>
        <w:rPr>
          <w:sz w:val="21"/>
        </w:rPr>
        <w:t>We may update this Privacy Policy to reflect changes in our practices, technology, or applicable law. When we make material changes, we will:</w:t>
      </w:r>
    </w:p>
    <w:p>
      <w:pPr>
        <w:pStyle w:val="ListBullet"/>
        <w:spacing w:after="60"/>
        <w:ind w:left="432"/>
      </w:pPr>
      <w:r>
        <w:rPr>
          <w:sz w:val="21"/>
        </w:rPr>
        <w:t>Update the "Effective Date" at the top of this Policy.</w:t>
      </w:r>
    </w:p>
    <w:p>
      <w:pPr>
        <w:pStyle w:val="ListBullet"/>
        <w:spacing w:after="60"/>
        <w:ind w:left="432"/>
      </w:pPr>
      <w:r>
        <w:rPr>
          <w:sz w:val="21"/>
        </w:rPr>
        <w:t>Notify you via in-app notification and email at least 14 days before changes take effect.</w:t>
      </w:r>
    </w:p>
    <w:p>
      <w:pPr>
        <w:pStyle w:val="ListBullet"/>
        <w:spacing w:after="60"/>
        <w:ind w:left="432"/>
      </w:pPr>
      <w:r>
        <w:rPr>
          <w:sz w:val="21"/>
        </w:rPr>
        <w:t>Require fresh consent where the change involves a new use of your personal data.</w:t>
      </w:r>
    </w:p>
    <w:p>
      <w:pPr>
        <w:spacing w:after="120"/>
        <w:ind w:left="0"/>
      </w:pPr>
      <w:r>
        <w:rPr>
          <w:sz w:val="21"/>
        </w:rPr>
        <w:t>If you do not accept the updated Privacy Policy, you may close your account. Your continued use of the Platform after the effective date constitutes acceptance.</w:t>
      </w:r>
    </w:p>
    <w:p>
      <w:pPr>
        <w:spacing w:before="80" w:after="80"/>
        <w:pBdr>
          <w:bottom w:val="single" w:sz="4" w:space="1" w:color="DBEAFE"/>
        </w:pBdr>
      </w:pPr>
    </w:p>
    <w:p>
      <w:pPr>
        <w:spacing w:before="360" w:after="120"/>
      </w:pPr>
      <w:r>
        <w:rPr>
          <w:b/>
          <w:color w:val="1E40AF"/>
          <w:sz w:val="32"/>
        </w:rPr>
        <w:t>14.  HOW TO CONTACT US — DATA RIGHTS REQUESTS</w:t>
      </w:r>
    </w:p>
    <w:tbl>
      <w:tblPr>
        <w:tblStyle w:val="TableGrid"/>
        <w:tblW w:type="auto" w:w="0"/>
        <w:tblLook w:firstColumn="1" w:firstRow="1" w:lastColumn="0" w:lastRow="0" w:noHBand="0" w:noVBand="1" w:val="04A0"/>
      </w:tblPr>
      <w:tblGrid>
        <w:gridCol w:w="9360"/>
      </w:tblGrid>
      <w:tr>
        <w:tc>
          <w:tcPr>
            <w:tcW w:type="dxa" w:w="9360"/>
            <w:shd w:val="clear" w:color="auto" w:fill="EFF6FF"/>
          </w:tcPr>
          <w:p>
            <w:pPr>
              <w:spacing w:before="40" w:after="80"/>
            </w:pPr>
            <w:r>
              <w:rPr>
                <w:b/>
                <w:color w:val="1E40AF"/>
                <w:sz w:val="22"/>
              </w:rPr>
              <w:t>📬  Data Rights and Privacy Enquiries</w:t>
            </w:r>
          </w:p>
          <w:p>
            <w:pPr>
              <w:spacing w:after="60"/>
            </w:pPr>
            <w:r>
              <w:rPr>
                <w:sz w:val="21"/>
              </w:rPr>
              <w:t>To exercise any of your DPA rights, or for any privacy concern:</w:t>
            </w:r>
          </w:p>
          <w:p>
            <w:pPr>
              <w:spacing w:after="60"/>
            </w:pPr>
            <w:r>
              <w:rPr>
                <w:sz w:val="21"/>
              </w:rPr>
            </w:r>
          </w:p>
          <w:p>
            <w:pPr>
              <w:spacing w:after="60"/>
            </w:pPr>
            <w:r>
              <w:rPr>
                <w:sz w:val="21"/>
              </w:rPr>
              <w:t>Email:    privacy@step2win.co.ke</w:t>
            </w:r>
          </w:p>
          <w:p>
            <w:pPr>
              <w:spacing w:after="60"/>
            </w:pPr>
            <w:r>
              <w:rPr>
                <w:sz w:val="21"/>
              </w:rPr>
              <w:t>Subject:  Data Rights Request — [Type of Request]</w:t>
            </w:r>
          </w:p>
          <w:p>
            <w:pPr>
              <w:spacing w:after="60"/>
            </w:pPr>
            <w:r>
              <w:rPr>
                <w:sz w:val="21"/>
              </w:rPr>
            </w:r>
          </w:p>
          <w:p>
            <w:pPr>
              <w:spacing w:after="60"/>
            </w:pPr>
            <w:r>
              <w:rPr>
                <w:sz w:val="21"/>
              </w:rPr>
              <w:t>We will acknowledge your request within 2 business days and respond within 7 days.</w:t>
            </w:r>
          </w:p>
          <w:p>
            <w:pPr>
              <w:spacing w:after="60"/>
            </w:pPr>
            <w:r>
              <w:rPr>
                <w:sz w:val="21"/>
              </w:rPr>
            </w:r>
          </w:p>
          <w:p>
            <w:pPr>
              <w:spacing w:after="60"/>
            </w:pPr>
            <w:r>
              <w:rPr>
                <w:sz w:val="21"/>
              </w:rPr>
              <w:t>If you are not satisfied with our response, you may contact:</w:t>
            </w:r>
          </w:p>
          <w:p>
            <w:pPr>
              <w:spacing w:after="60"/>
            </w:pPr>
            <w:r>
              <w:rPr>
                <w:sz w:val="21"/>
              </w:rPr>
              <w:t>Office of the Data Protection Commissioner (ODPC) Kenya</w:t>
            </w:r>
          </w:p>
          <w:p>
            <w:pPr>
              <w:spacing w:after="60"/>
            </w:pPr>
            <w:r>
              <w:rPr>
                <w:sz w:val="21"/>
              </w:rPr>
              <w:t>Website:  www.odpc.go.ke</w:t>
            </w:r>
          </w:p>
          <w:p>
            <w:pPr>
              <w:spacing w:after="60"/>
            </w:pPr>
            <w:r>
              <w:rPr>
                <w:sz w:val="21"/>
              </w:rPr>
              <w:t>Address:  Britam Towers, 12th Floor, Hospital Road, Upperhill, Nairobi</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