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0B3E5" w14:textId="2F2DA5E3" w:rsidR="00DC675B" w:rsidRDefault="0029216C">
      <w:r>
        <w:t>Part 1</w:t>
      </w:r>
    </w:p>
    <w:p w14:paraId="2560B490" w14:textId="4D840665" w:rsidR="001A4865" w:rsidRDefault="001A4865">
      <w:r>
        <w:t>As a baseline, the base, defenseless model was evaluated on benign and adversarial images. The model was evaluated on clean and adversarial images with three input image transformation defenses: JPEG compression, resizing, and blur. The recorded metrics for each test were accuracy on clean images</w:t>
      </w:r>
      <w:r w:rsidR="001C2C1E">
        <w:t xml:space="preserve"> (1), accuracy on adversarial images (2), and success rate of adversarial images (3)</w:t>
      </w:r>
      <w:r>
        <w:t>:</w:t>
      </w:r>
    </w:p>
    <w:p w14:paraId="6A6A66F0" w14:textId="4440F7D5" w:rsidR="001C2C1E" w:rsidRPr="00DA167A" w:rsidRDefault="001C2C1E" w:rsidP="00044B42">
      <w:pPr>
        <w:spacing w:before="240"/>
        <w:rPr>
          <w:rFonts w:ascii="Times New Roman" w:hAnsi="Times New Roman"/>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 xml:space="preserve">benign images classified as </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r>
                    <w:rPr>
                      <w:rFonts w:ascii="Cambria Math" w:hAnsi="Cambria Math"/>
                    </w:rPr>
                    <m:t>count(benign images processed)</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e>
          </m:eqArr>
        </m:oMath>
      </m:oMathPara>
    </w:p>
    <w:p w14:paraId="5CF62BCE" w14:textId="41CB624F" w:rsidR="001C2C1E" w:rsidRPr="00DA167A" w:rsidRDefault="001C2C1E" w:rsidP="00044B42">
      <w:pPr>
        <w:spacing w:before="240"/>
        <w:rPr>
          <w:rFonts w:ascii="Times New Roman" w:hAnsi="Times New Roman"/>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 xml:space="preserve">AEs classified as </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r>
                    <w:rPr>
                      <w:rFonts w:ascii="Cambria Math" w:hAnsi="Cambria Math"/>
                    </w:rPr>
                    <m:t>count(AEs processed)</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e>
              </m:d>
            </m:e>
          </m:eqArr>
        </m:oMath>
      </m:oMathPara>
    </w:p>
    <w:p w14:paraId="6038372A" w14:textId="207C5EDF" w:rsidR="001C2C1E" w:rsidRPr="00DA167A" w:rsidRDefault="001C2C1E" w:rsidP="00044B42">
      <w:pPr>
        <w:spacing w:before="240"/>
        <w:rPr>
          <w:rFonts w:ascii="Times New Roman" w:hAnsi="Times New Roman"/>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 xml:space="preserve">AEs classified as </m:t>
                      </m:r>
                      <m:sSub>
                        <m:sSubPr>
                          <m:ctrlPr>
                            <w:rPr>
                              <w:rFonts w:ascii="Cambria Math" w:hAnsi="Cambria Math"/>
                              <w:i/>
                            </w:rPr>
                          </m:ctrlPr>
                        </m:sSubPr>
                        <m:e>
                          <m:r>
                            <w:rPr>
                              <w:rFonts w:ascii="Cambria Math" w:hAnsi="Cambria Math"/>
                            </w:rPr>
                            <m:t>y</m:t>
                          </m:r>
                        </m:e>
                        <m:sub>
                          <m:r>
                            <w:rPr>
                              <w:rFonts w:ascii="Cambria Math" w:hAnsi="Cambria Math"/>
                            </w:rPr>
                            <m:t>target</m:t>
                          </m:r>
                        </m:sub>
                      </m:sSub>
                    </m:e>
                  </m:d>
                </m:num>
                <m:den>
                  <m:r>
                    <w:rPr>
                      <w:rFonts w:ascii="Cambria Math" w:hAnsi="Cambria Math"/>
                    </w:rPr>
                    <m:t>count(AEs processed)</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equation </m:t>
                  </m:r>
                  <m:r>
                    <w:rPr>
                      <w:rFonts w:ascii="Cambria Math" w:hAnsi="Cambria Math"/>
                      <w:i/>
                    </w:rPr>
                    <w:fldChar w:fldCharType="separate"/>
                  </m:r>
                  <m:r>
                    <m:rPr>
                      <m:sty m:val="p"/>
                    </m:rPr>
                    <w:rPr>
                      <w:rFonts w:ascii="Cambria Math" w:hAnsi="Cambria Math"/>
                      <w:noProof/>
                    </w:rPr>
                    <m:t>3</m:t>
                  </m:r>
                  <m:r>
                    <w:rPr>
                      <w:rFonts w:ascii="Cambria Math" w:hAnsi="Cambria Math"/>
                      <w:i/>
                    </w:rPr>
                    <w:fldChar w:fldCharType="end"/>
                  </m:r>
                </m:e>
              </m:d>
            </m:e>
          </m:eqArr>
        </m:oMath>
      </m:oMathPara>
    </w:p>
    <w:p w14:paraId="6CED5946" w14:textId="439FD053" w:rsidR="001C2C1E" w:rsidRDefault="001C2C1E">
      <w:r>
        <w:t>The results of the baseline and defense tests are displayed in table 1.</w:t>
      </w:r>
    </w:p>
    <w:p w14:paraId="7A878854" w14:textId="0841BDB2" w:rsidR="00BF3089" w:rsidRDefault="00BF3089" w:rsidP="00BF3089">
      <w:pPr>
        <w:jc w:val="center"/>
      </w:pPr>
      <w:r>
        <w:t>Table 1. Accuracy scores per by defense with naïve PGD</w:t>
      </w:r>
    </w:p>
    <w:tbl>
      <w:tblPr>
        <w:tblStyle w:val="TableGrid"/>
        <w:tblW w:w="0" w:type="auto"/>
        <w:tblLook w:val="04A0" w:firstRow="1" w:lastRow="0" w:firstColumn="1" w:lastColumn="0" w:noHBand="0" w:noVBand="1"/>
      </w:tblPr>
      <w:tblGrid>
        <w:gridCol w:w="2337"/>
        <w:gridCol w:w="2337"/>
        <w:gridCol w:w="2338"/>
        <w:gridCol w:w="2338"/>
      </w:tblGrid>
      <w:tr w:rsidR="001C2C1E" w14:paraId="0E5016C0" w14:textId="77777777" w:rsidTr="001C2C1E">
        <w:tc>
          <w:tcPr>
            <w:tcW w:w="2337" w:type="dxa"/>
          </w:tcPr>
          <w:p w14:paraId="598F7C1A" w14:textId="2CE1D39C" w:rsidR="001C2C1E" w:rsidRDefault="001C2C1E">
            <w:r>
              <w:t>Defense</w:t>
            </w:r>
          </w:p>
        </w:tc>
        <w:tc>
          <w:tcPr>
            <w:tcW w:w="2337" w:type="dxa"/>
          </w:tcPr>
          <w:p w14:paraId="7098D686" w14:textId="774DA03D" w:rsidR="001C2C1E" w:rsidRDefault="001C2C1E">
            <w:r>
              <w:t>Benign Accuracy (1)</w:t>
            </w:r>
          </w:p>
        </w:tc>
        <w:tc>
          <w:tcPr>
            <w:tcW w:w="2338" w:type="dxa"/>
          </w:tcPr>
          <w:p w14:paraId="326AC4CC" w14:textId="6347245F" w:rsidR="001C2C1E" w:rsidRDefault="001C2C1E">
            <w:r>
              <w:t>AE Accuracy (2)</w:t>
            </w:r>
          </w:p>
        </w:tc>
        <w:tc>
          <w:tcPr>
            <w:tcW w:w="2338" w:type="dxa"/>
          </w:tcPr>
          <w:p w14:paraId="450C9229" w14:textId="44368A0A" w:rsidR="001C2C1E" w:rsidRDefault="001C2C1E">
            <w:r>
              <w:t>Attack Success (3)</w:t>
            </w:r>
          </w:p>
        </w:tc>
      </w:tr>
      <w:tr w:rsidR="001C2C1E" w14:paraId="7258FA8E" w14:textId="77777777" w:rsidTr="001C2C1E">
        <w:tc>
          <w:tcPr>
            <w:tcW w:w="2337" w:type="dxa"/>
          </w:tcPr>
          <w:p w14:paraId="31856DC9" w14:textId="16BCEF90" w:rsidR="001C2C1E" w:rsidRDefault="001C2C1E">
            <w:r>
              <w:t>None</w:t>
            </w:r>
          </w:p>
        </w:tc>
        <w:tc>
          <w:tcPr>
            <w:tcW w:w="2337" w:type="dxa"/>
          </w:tcPr>
          <w:p w14:paraId="66D18E09" w14:textId="452CC7B3" w:rsidR="001C2C1E" w:rsidRDefault="001C2C1E">
            <w:r>
              <w:t>77.00%</w:t>
            </w:r>
          </w:p>
        </w:tc>
        <w:tc>
          <w:tcPr>
            <w:tcW w:w="2338" w:type="dxa"/>
          </w:tcPr>
          <w:p w14:paraId="1042DD31" w14:textId="4D63DA00" w:rsidR="001C2C1E" w:rsidRDefault="001C2C1E">
            <w:r>
              <w:t>5.00%</w:t>
            </w:r>
          </w:p>
        </w:tc>
        <w:tc>
          <w:tcPr>
            <w:tcW w:w="2338" w:type="dxa"/>
          </w:tcPr>
          <w:p w14:paraId="702C662F" w14:textId="7187BD17" w:rsidR="001C2C1E" w:rsidRDefault="001C2C1E">
            <w:r>
              <w:t>93.00%</w:t>
            </w:r>
          </w:p>
        </w:tc>
      </w:tr>
      <w:tr w:rsidR="001C2C1E" w14:paraId="73D07FBD" w14:textId="77777777" w:rsidTr="001C2C1E">
        <w:tc>
          <w:tcPr>
            <w:tcW w:w="2337" w:type="dxa"/>
          </w:tcPr>
          <w:p w14:paraId="5A90FF90" w14:textId="6B461E8D" w:rsidR="001C2C1E" w:rsidRDefault="001C2C1E">
            <w:r>
              <w:t>JPEG Compression</w:t>
            </w:r>
          </w:p>
        </w:tc>
        <w:tc>
          <w:tcPr>
            <w:tcW w:w="2337" w:type="dxa"/>
          </w:tcPr>
          <w:p w14:paraId="07A91966" w14:textId="32738141" w:rsidR="001C2C1E" w:rsidRDefault="001C2C1E">
            <w:r>
              <w:t>72.00%</w:t>
            </w:r>
          </w:p>
        </w:tc>
        <w:tc>
          <w:tcPr>
            <w:tcW w:w="2338" w:type="dxa"/>
          </w:tcPr>
          <w:p w14:paraId="7D40089C" w14:textId="340B5C96" w:rsidR="001C2C1E" w:rsidRDefault="001C2C1E">
            <w:r>
              <w:t>33.00%</w:t>
            </w:r>
          </w:p>
        </w:tc>
        <w:tc>
          <w:tcPr>
            <w:tcW w:w="2338" w:type="dxa"/>
          </w:tcPr>
          <w:p w14:paraId="1C974F78" w14:textId="2A0710F8" w:rsidR="001C2C1E" w:rsidRDefault="001C2C1E">
            <w:r>
              <w:t>57.00%</w:t>
            </w:r>
          </w:p>
        </w:tc>
      </w:tr>
      <w:tr w:rsidR="001C2C1E" w14:paraId="55B7769E" w14:textId="77777777" w:rsidTr="001C2C1E">
        <w:tc>
          <w:tcPr>
            <w:tcW w:w="2337" w:type="dxa"/>
          </w:tcPr>
          <w:p w14:paraId="20C16B00" w14:textId="078D8D94" w:rsidR="001C2C1E" w:rsidRDefault="001C2C1E">
            <w:r>
              <w:t>Resizing</w:t>
            </w:r>
          </w:p>
        </w:tc>
        <w:tc>
          <w:tcPr>
            <w:tcW w:w="2337" w:type="dxa"/>
          </w:tcPr>
          <w:p w14:paraId="3732A3B6" w14:textId="62E62ADF" w:rsidR="001C2C1E" w:rsidRDefault="001C2C1E">
            <w:r>
              <w:t>73.00%</w:t>
            </w:r>
          </w:p>
        </w:tc>
        <w:tc>
          <w:tcPr>
            <w:tcW w:w="2338" w:type="dxa"/>
          </w:tcPr>
          <w:p w14:paraId="2CBF4640" w14:textId="0681E5CD" w:rsidR="001C2C1E" w:rsidRDefault="001C2C1E">
            <w:r>
              <w:t>49.00%</w:t>
            </w:r>
          </w:p>
        </w:tc>
        <w:tc>
          <w:tcPr>
            <w:tcW w:w="2338" w:type="dxa"/>
          </w:tcPr>
          <w:p w14:paraId="40F6C384" w14:textId="419F83EB" w:rsidR="001C2C1E" w:rsidRDefault="001C2C1E">
            <w:r>
              <w:t>38.00%</w:t>
            </w:r>
          </w:p>
        </w:tc>
      </w:tr>
      <w:tr w:rsidR="001C2C1E" w14:paraId="665048A6" w14:textId="77777777" w:rsidTr="001C2C1E">
        <w:tc>
          <w:tcPr>
            <w:tcW w:w="2337" w:type="dxa"/>
          </w:tcPr>
          <w:p w14:paraId="7A4E792A" w14:textId="1383DA3F" w:rsidR="001C2C1E" w:rsidRDefault="001C2C1E">
            <w:r>
              <w:t>Blurring</w:t>
            </w:r>
          </w:p>
        </w:tc>
        <w:tc>
          <w:tcPr>
            <w:tcW w:w="2337" w:type="dxa"/>
          </w:tcPr>
          <w:p w14:paraId="2F8B446F" w14:textId="29D35E4E" w:rsidR="001C2C1E" w:rsidRDefault="001C2C1E">
            <w:r>
              <w:t>73.00%</w:t>
            </w:r>
          </w:p>
        </w:tc>
        <w:tc>
          <w:tcPr>
            <w:tcW w:w="2338" w:type="dxa"/>
          </w:tcPr>
          <w:p w14:paraId="0CCD19B0" w14:textId="331BA8C4" w:rsidR="001C2C1E" w:rsidRDefault="001C2C1E">
            <w:r>
              <w:t>64.00%</w:t>
            </w:r>
          </w:p>
        </w:tc>
        <w:tc>
          <w:tcPr>
            <w:tcW w:w="2338" w:type="dxa"/>
          </w:tcPr>
          <w:p w14:paraId="335F33BA" w14:textId="5F6E1511" w:rsidR="001C2C1E" w:rsidRDefault="001C2C1E">
            <w:r>
              <w:t>22.00%</w:t>
            </w:r>
          </w:p>
        </w:tc>
      </w:tr>
    </w:tbl>
    <w:p w14:paraId="1774A736" w14:textId="5B6E16CC" w:rsidR="001C2C1E" w:rsidRDefault="001C2C1E">
      <w:r>
        <w:br/>
        <w:t>The results show increases in AE accuracy and attack success percentages with slight decreases in benign accuracy between the baseline and the three defenses. More specifically, blurring is the best defense, raising the AE accuracy by 59.00% and decreasing attack success by 71.00%</w:t>
      </w:r>
      <w:r w:rsidR="00EF3181">
        <w:t xml:space="preserve">, and only decreasing benign accuracy by 4.00%. Image resizing performed the second best, raising AE accuracy by 44.00% and decreasing attack success by 55.00% with a benign accuracy decrease of 4.00%. Of the three defenses, JPEG compression performed the worst, increasing AE accuracy by only 28.00%, decreasing attack success by 36.00%, and decreasing benign accuracy by a slightly higher 5.00%. </w:t>
      </w:r>
    </w:p>
    <w:p w14:paraId="6732B924" w14:textId="77777777" w:rsidR="00EF3181" w:rsidRDefault="00EF3181"/>
    <w:p w14:paraId="2ADF1CD5" w14:textId="6C97B23B" w:rsidR="00EF3181" w:rsidRDefault="00EF3181">
      <w:r>
        <w:t>Part 2</w:t>
      </w:r>
    </w:p>
    <w:p w14:paraId="79DED962" w14:textId="7BDC8894" w:rsidR="00D5499E" w:rsidRDefault="00D5499E">
      <w:r>
        <w:t xml:space="preserve">To break the transformation defense created in Part 1, an expectation over transformation attack was created, averaging the gradients across each of the three transformations. The </w:t>
      </w:r>
      <w:r>
        <w:lastRenderedPageBreak/>
        <w:t xml:space="preserve">attack was evaluated </w:t>
      </w:r>
      <w:r w:rsidR="006C01C9">
        <w:t>on the four defense cases used for evaluating Part 1 with the three accuracy scores.</w:t>
      </w:r>
    </w:p>
    <w:p w14:paraId="74989183" w14:textId="6DAC44FC" w:rsidR="00BF3089" w:rsidRDefault="00BF3089" w:rsidP="00BF3089">
      <w:pPr>
        <w:jc w:val="center"/>
      </w:pPr>
      <w:r>
        <w:t xml:space="preserve">Table 2. Accuracy scores per defense with EOT </w:t>
      </w:r>
    </w:p>
    <w:tbl>
      <w:tblPr>
        <w:tblStyle w:val="TableGrid"/>
        <w:tblW w:w="0" w:type="auto"/>
        <w:tblLook w:val="04A0" w:firstRow="1" w:lastRow="0" w:firstColumn="1" w:lastColumn="0" w:noHBand="0" w:noVBand="1"/>
      </w:tblPr>
      <w:tblGrid>
        <w:gridCol w:w="2337"/>
        <w:gridCol w:w="2337"/>
        <w:gridCol w:w="2338"/>
        <w:gridCol w:w="2338"/>
      </w:tblGrid>
      <w:tr w:rsidR="00D5499E" w14:paraId="06A3FABA" w14:textId="77777777" w:rsidTr="00C95BD1">
        <w:tc>
          <w:tcPr>
            <w:tcW w:w="2337" w:type="dxa"/>
          </w:tcPr>
          <w:p w14:paraId="334FAA2F" w14:textId="77777777" w:rsidR="00D5499E" w:rsidRDefault="00D5499E" w:rsidP="00C95BD1">
            <w:r>
              <w:t>Defense</w:t>
            </w:r>
          </w:p>
        </w:tc>
        <w:tc>
          <w:tcPr>
            <w:tcW w:w="2337" w:type="dxa"/>
          </w:tcPr>
          <w:p w14:paraId="1240A5A4" w14:textId="77777777" w:rsidR="00D5499E" w:rsidRDefault="00D5499E" w:rsidP="00C95BD1">
            <w:r>
              <w:t>Benign Accuracy (1)</w:t>
            </w:r>
          </w:p>
        </w:tc>
        <w:tc>
          <w:tcPr>
            <w:tcW w:w="2338" w:type="dxa"/>
          </w:tcPr>
          <w:p w14:paraId="551F52E1" w14:textId="77777777" w:rsidR="00D5499E" w:rsidRDefault="00D5499E" w:rsidP="00C95BD1">
            <w:r>
              <w:t>AE Accuracy (2)</w:t>
            </w:r>
          </w:p>
        </w:tc>
        <w:tc>
          <w:tcPr>
            <w:tcW w:w="2338" w:type="dxa"/>
          </w:tcPr>
          <w:p w14:paraId="2DBB5476" w14:textId="77777777" w:rsidR="00D5499E" w:rsidRDefault="00D5499E" w:rsidP="00C95BD1">
            <w:r>
              <w:t>Attack Success (3)</w:t>
            </w:r>
          </w:p>
        </w:tc>
      </w:tr>
      <w:tr w:rsidR="00D5499E" w14:paraId="34B7EB1A" w14:textId="77777777" w:rsidTr="00C95BD1">
        <w:tc>
          <w:tcPr>
            <w:tcW w:w="2337" w:type="dxa"/>
          </w:tcPr>
          <w:p w14:paraId="5BD66C76" w14:textId="77777777" w:rsidR="00D5499E" w:rsidRDefault="00D5499E" w:rsidP="00C95BD1">
            <w:r>
              <w:t>None</w:t>
            </w:r>
          </w:p>
        </w:tc>
        <w:tc>
          <w:tcPr>
            <w:tcW w:w="2337" w:type="dxa"/>
          </w:tcPr>
          <w:p w14:paraId="4C0BE23A" w14:textId="77777777" w:rsidR="00D5499E" w:rsidRDefault="00D5499E" w:rsidP="00C95BD1">
            <w:r>
              <w:t>77.00%</w:t>
            </w:r>
          </w:p>
        </w:tc>
        <w:tc>
          <w:tcPr>
            <w:tcW w:w="2338" w:type="dxa"/>
          </w:tcPr>
          <w:p w14:paraId="7EF2B278" w14:textId="6A17EB36" w:rsidR="00D5499E" w:rsidRDefault="00D5499E" w:rsidP="00C95BD1">
            <w:r>
              <w:t>23</w:t>
            </w:r>
            <w:r>
              <w:t>.00%</w:t>
            </w:r>
          </w:p>
        </w:tc>
        <w:tc>
          <w:tcPr>
            <w:tcW w:w="2338" w:type="dxa"/>
          </w:tcPr>
          <w:p w14:paraId="3FB598E9" w14:textId="4EC2582D" w:rsidR="00D5499E" w:rsidRDefault="00D5499E" w:rsidP="00C95BD1">
            <w:r>
              <w:t>71</w:t>
            </w:r>
            <w:r>
              <w:t>.00%</w:t>
            </w:r>
          </w:p>
        </w:tc>
      </w:tr>
      <w:tr w:rsidR="00D5499E" w14:paraId="44B72182" w14:textId="77777777" w:rsidTr="00C95BD1">
        <w:tc>
          <w:tcPr>
            <w:tcW w:w="2337" w:type="dxa"/>
          </w:tcPr>
          <w:p w14:paraId="0EC310BA" w14:textId="77777777" w:rsidR="00D5499E" w:rsidRDefault="00D5499E" w:rsidP="00C95BD1">
            <w:r>
              <w:t>JPEG Compression</w:t>
            </w:r>
          </w:p>
        </w:tc>
        <w:tc>
          <w:tcPr>
            <w:tcW w:w="2337" w:type="dxa"/>
          </w:tcPr>
          <w:p w14:paraId="6C655F99" w14:textId="77777777" w:rsidR="00D5499E" w:rsidRDefault="00D5499E" w:rsidP="00C95BD1">
            <w:r>
              <w:t>72.00%</w:t>
            </w:r>
          </w:p>
        </w:tc>
        <w:tc>
          <w:tcPr>
            <w:tcW w:w="2338" w:type="dxa"/>
          </w:tcPr>
          <w:p w14:paraId="08115AFC" w14:textId="0B585D36" w:rsidR="00D5499E" w:rsidRDefault="00D5499E" w:rsidP="00C95BD1">
            <w:r>
              <w:t>24</w:t>
            </w:r>
            <w:r>
              <w:t>.00%</w:t>
            </w:r>
          </w:p>
        </w:tc>
        <w:tc>
          <w:tcPr>
            <w:tcW w:w="2338" w:type="dxa"/>
          </w:tcPr>
          <w:p w14:paraId="1CDC2654" w14:textId="4CD25C7E" w:rsidR="00D5499E" w:rsidRDefault="00D5499E" w:rsidP="00C95BD1">
            <w:r>
              <w:t>71</w:t>
            </w:r>
            <w:r>
              <w:t>.00%</w:t>
            </w:r>
          </w:p>
        </w:tc>
      </w:tr>
      <w:tr w:rsidR="00D5499E" w14:paraId="27DAE446" w14:textId="77777777" w:rsidTr="00C95BD1">
        <w:tc>
          <w:tcPr>
            <w:tcW w:w="2337" w:type="dxa"/>
          </w:tcPr>
          <w:p w14:paraId="408D4C85" w14:textId="77777777" w:rsidR="00D5499E" w:rsidRDefault="00D5499E" w:rsidP="00C95BD1">
            <w:r>
              <w:t>Resizing</w:t>
            </w:r>
          </w:p>
        </w:tc>
        <w:tc>
          <w:tcPr>
            <w:tcW w:w="2337" w:type="dxa"/>
          </w:tcPr>
          <w:p w14:paraId="07BD716C" w14:textId="77777777" w:rsidR="00D5499E" w:rsidRDefault="00D5499E" w:rsidP="00C95BD1">
            <w:r>
              <w:t>73.00%</w:t>
            </w:r>
          </w:p>
        </w:tc>
        <w:tc>
          <w:tcPr>
            <w:tcW w:w="2338" w:type="dxa"/>
          </w:tcPr>
          <w:p w14:paraId="09B4ED51" w14:textId="1505C007" w:rsidR="00D5499E" w:rsidRDefault="00D5499E" w:rsidP="00C95BD1">
            <w:r>
              <w:t>15</w:t>
            </w:r>
            <w:r>
              <w:t>.00%</w:t>
            </w:r>
          </w:p>
        </w:tc>
        <w:tc>
          <w:tcPr>
            <w:tcW w:w="2338" w:type="dxa"/>
          </w:tcPr>
          <w:p w14:paraId="7D00EEED" w14:textId="61DAD4C9" w:rsidR="00D5499E" w:rsidRDefault="00D5499E" w:rsidP="00C95BD1">
            <w:r>
              <w:t>80</w:t>
            </w:r>
            <w:r>
              <w:t>.00%</w:t>
            </w:r>
          </w:p>
        </w:tc>
      </w:tr>
      <w:tr w:rsidR="00D5499E" w14:paraId="216C3B2B" w14:textId="77777777" w:rsidTr="00C95BD1">
        <w:tc>
          <w:tcPr>
            <w:tcW w:w="2337" w:type="dxa"/>
          </w:tcPr>
          <w:p w14:paraId="137413BF" w14:textId="77777777" w:rsidR="00D5499E" w:rsidRDefault="00D5499E" w:rsidP="00C95BD1">
            <w:r>
              <w:t>Blurring</w:t>
            </w:r>
          </w:p>
        </w:tc>
        <w:tc>
          <w:tcPr>
            <w:tcW w:w="2337" w:type="dxa"/>
          </w:tcPr>
          <w:p w14:paraId="67263058" w14:textId="77777777" w:rsidR="00D5499E" w:rsidRDefault="00D5499E" w:rsidP="00C95BD1">
            <w:r>
              <w:t>73.00%</w:t>
            </w:r>
          </w:p>
        </w:tc>
        <w:tc>
          <w:tcPr>
            <w:tcW w:w="2338" w:type="dxa"/>
          </w:tcPr>
          <w:p w14:paraId="3F199562" w14:textId="79C49201" w:rsidR="00D5499E" w:rsidRDefault="00D5499E" w:rsidP="00C95BD1">
            <w:r>
              <w:t>9</w:t>
            </w:r>
            <w:r>
              <w:t>.00%</w:t>
            </w:r>
          </w:p>
        </w:tc>
        <w:tc>
          <w:tcPr>
            <w:tcW w:w="2338" w:type="dxa"/>
          </w:tcPr>
          <w:p w14:paraId="53849C47" w14:textId="3C17BBC5" w:rsidR="00D5499E" w:rsidRDefault="00D5499E" w:rsidP="00C95BD1">
            <w:r>
              <w:t>86</w:t>
            </w:r>
            <w:r>
              <w:t>.00%</w:t>
            </w:r>
          </w:p>
        </w:tc>
      </w:tr>
    </w:tbl>
    <w:p w14:paraId="36DD2C5C" w14:textId="77777777" w:rsidR="006C01C9" w:rsidRDefault="006C01C9"/>
    <w:p w14:paraId="1972BB01" w14:textId="5D170B03" w:rsidR="006C01C9" w:rsidRDefault="006C01C9">
      <w:r>
        <w:t xml:space="preserve">Interestingly, the EOT attack performed best on the defenses that performed best in Part 1 with an 86.00% success rate with the blurring transformation and an 80.00% success rate with resizing, compared to a 71% success rate on the JPEG transformation and the defenseless model. </w:t>
      </w:r>
      <w:r w:rsidR="00BF3089">
        <w:t>This indicates that the attack is overfitting its images towards the more potent defenses, perhaps because their labels are more confident and influence the gradient more when the average is taken across the three defenses.</w:t>
      </w:r>
    </w:p>
    <w:p w14:paraId="3966A568" w14:textId="77777777" w:rsidR="00BF3089" w:rsidRDefault="00BF3089"/>
    <w:p w14:paraId="21054951" w14:textId="77777777" w:rsidR="00BF3089" w:rsidRDefault="00BF3089"/>
    <w:p w14:paraId="1A003D00" w14:textId="77777777" w:rsidR="00BF3089" w:rsidRDefault="00BF3089"/>
    <w:p w14:paraId="6AFD0C33" w14:textId="77777777" w:rsidR="00BF3089" w:rsidRDefault="00BF3089"/>
    <w:sectPr w:rsidR="00BF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6C"/>
    <w:rsid w:val="000D4B15"/>
    <w:rsid w:val="00121558"/>
    <w:rsid w:val="001A4865"/>
    <w:rsid w:val="001C2C1E"/>
    <w:rsid w:val="0029216C"/>
    <w:rsid w:val="00380049"/>
    <w:rsid w:val="00612F1A"/>
    <w:rsid w:val="006C01C9"/>
    <w:rsid w:val="00973179"/>
    <w:rsid w:val="00BB41D4"/>
    <w:rsid w:val="00BF3089"/>
    <w:rsid w:val="00D5499E"/>
    <w:rsid w:val="00DC675B"/>
    <w:rsid w:val="00EF3181"/>
    <w:rsid w:val="00F12CE6"/>
    <w:rsid w:val="00F5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3384"/>
  <w15:chartTrackingRefBased/>
  <w15:docId w15:val="{10A92421-6CCF-4D8B-B0E7-FD7DF485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16C"/>
    <w:rPr>
      <w:rFonts w:eastAsiaTheme="majorEastAsia" w:cstheme="majorBidi"/>
      <w:color w:val="272727" w:themeColor="text1" w:themeTint="D8"/>
    </w:rPr>
  </w:style>
  <w:style w:type="paragraph" w:styleId="Title">
    <w:name w:val="Title"/>
    <w:basedOn w:val="Normal"/>
    <w:next w:val="Normal"/>
    <w:link w:val="TitleChar"/>
    <w:uiPriority w:val="10"/>
    <w:qFormat/>
    <w:rsid w:val="00292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16C"/>
    <w:pPr>
      <w:spacing w:before="160"/>
      <w:jc w:val="center"/>
    </w:pPr>
    <w:rPr>
      <w:i/>
      <w:iCs/>
      <w:color w:val="404040" w:themeColor="text1" w:themeTint="BF"/>
    </w:rPr>
  </w:style>
  <w:style w:type="character" w:customStyle="1" w:styleId="QuoteChar">
    <w:name w:val="Quote Char"/>
    <w:basedOn w:val="DefaultParagraphFont"/>
    <w:link w:val="Quote"/>
    <w:uiPriority w:val="29"/>
    <w:rsid w:val="0029216C"/>
    <w:rPr>
      <w:i/>
      <w:iCs/>
      <w:color w:val="404040" w:themeColor="text1" w:themeTint="BF"/>
    </w:rPr>
  </w:style>
  <w:style w:type="paragraph" w:styleId="ListParagraph">
    <w:name w:val="List Paragraph"/>
    <w:basedOn w:val="Normal"/>
    <w:uiPriority w:val="34"/>
    <w:qFormat/>
    <w:rsid w:val="0029216C"/>
    <w:pPr>
      <w:ind w:left="720"/>
      <w:contextualSpacing/>
    </w:pPr>
  </w:style>
  <w:style w:type="character" w:styleId="IntenseEmphasis">
    <w:name w:val="Intense Emphasis"/>
    <w:basedOn w:val="DefaultParagraphFont"/>
    <w:uiPriority w:val="21"/>
    <w:qFormat/>
    <w:rsid w:val="0029216C"/>
    <w:rPr>
      <w:i/>
      <w:iCs/>
      <w:color w:val="0F4761" w:themeColor="accent1" w:themeShade="BF"/>
    </w:rPr>
  </w:style>
  <w:style w:type="paragraph" w:styleId="IntenseQuote">
    <w:name w:val="Intense Quote"/>
    <w:basedOn w:val="Normal"/>
    <w:next w:val="Normal"/>
    <w:link w:val="IntenseQuoteChar"/>
    <w:uiPriority w:val="30"/>
    <w:qFormat/>
    <w:rsid w:val="0029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16C"/>
    <w:rPr>
      <w:i/>
      <w:iCs/>
      <w:color w:val="0F4761" w:themeColor="accent1" w:themeShade="BF"/>
    </w:rPr>
  </w:style>
  <w:style w:type="character" w:styleId="IntenseReference">
    <w:name w:val="Intense Reference"/>
    <w:basedOn w:val="DefaultParagraphFont"/>
    <w:uiPriority w:val="32"/>
    <w:qFormat/>
    <w:rsid w:val="0029216C"/>
    <w:rPr>
      <w:b/>
      <w:bCs/>
      <w:smallCaps/>
      <w:color w:val="0F4761" w:themeColor="accent1" w:themeShade="BF"/>
      <w:spacing w:val="5"/>
    </w:rPr>
  </w:style>
  <w:style w:type="character" w:styleId="PlaceholderText">
    <w:name w:val="Placeholder Text"/>
    <w:basedOn w:val="DefaultParagraphFont"/>
    <w:uiPriority w:val="99"/>
    <w:semiHidden/>
    <w:rsid w:val="001A4865"/>
    <w:rPr>
      <w:color w:val="666666"/>
    </w:rPr>
  </w:style>
  <w:style w:type="table" w:styleId="TableGrid">
    <w:name w:val="Table Grid"/>
    <w:basedOn w:val="TableNormal"/>
    <w:uiPriority w:val="39"/>
    <w:rsid w:val="001C2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 ‎</dc:creator>
  <cp:keywords/>
  <dc:description/>
  <cp:lastModifiedBy>Isaac Stilwell</cp:lastModifiedBy>
  <cp:revision>2</cp:revision>
  <dcterms:created xsi:type="dcterms:W3CDTF">2025-05-01T02:35:00Z</dcterms:created>
  <dcterms:modified xsi:type="dcterms:W3CDTF">2025-05-01T06:30:00Z</dcterms:modified>
</cp:coreProperties>
</file>