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YSpec="top"/>
        <w:tblW w:w="0" w:type="auto"/>
        <w:tblLook w:val="04A0"/>
      </w:tblPr>
      <w:tblGrid>
        <w:gridCol w:w="1173"/>
        <w:gridCol w:w="8115"/>
      </w:tblGrid>
      <w:tr w:rsidR="0035585A" w:rsidTr="00157EC4">
        <w:trPr>
          <w:trHeight w:val="1440"/>
        </w:trPr>
        <w:tc>
          <w:tcPr>
            <w:tcW w:w="1440" w:type="dxa"/>
            <w:tcBorders>
              <w:right w:val="single" w:sz="4" w:space="0" w:color="FFFFFF"/>
            </w:tcBorders>
            <w:shd w:val="clear" w:color="auto" w:fill="00682F"/>
          </w:tcPr>
          <w:p w:rsidR="0035585A" w:rsidRDefault="000C5350">
            <w:r>
              <w:t xml:space="preserve"> </w:t>
            </w:r>
          </w:p>
        </w:tc>
        <w:tc>
          <w:tcPr>
            <w:tcW w:w="2520" w:type="dxa"/>
            <w:tcBorders>
              <w:left w:val="single" w:sz="4" w:space="0" w:color="FFFFFF"/>
            </w:tcBorders>
            <w:shd w:val="clear" w:color="auto" w:fill="00682F"/>
            <w:vAlign w:val="bottom"/>
          </w:tcPr>
          <w:p w:rsidR="0035585A" w:rsidRPr="00537E24" w:rsidRDefault="0035585A" w:rsidP="00C77ABB">
            <w:pPr>
              <w:pStyle w:val="SemEspaamento"/>
              <w:rPr>
                <w:rFonts w:ascii="Cambria" w:hAnsi="Cambria"/>
                <w:b/>
                <w:bCs/>
                <w:color w:val="FFFFFF"/>
                <w:sz w:val="72"/>
                <w:szCs w:val="72"/>
              </w:rPr>
            </w:pPr>
          </w:p>
        </w:tc>
      </w:tr>
      <w:tr w:rsidR="0035585A">
        <w:trPr>
          <w:trHeight w:val="2880"/>
        </w:trPr>
        <w:tc>
          <w:tcPr>
            <w:tcW w:w="1440" w:type="dxa"/>
            <w:tcBorders>
              <w:right w:val="single" w:sz="4" w:space="0" w:color="000000"/>
            </w:tcBorders>
          </w:tcPr>
          <w:p w:rsidR="0035585A" w:rsidRDefault="0035585A"/>
        </w:tc>
        <w:tc>
          <w:tcPr>
            <w:tcW w:w="2520" w:type="dxa"/>
            <w:tcBorders>
              <w:left w:val="single" w:sz="4" w:space="0" w:color="000000"/>
            </w:tcBorders>
            <w:vAlign w:val="center"/>
          </w:tcPr>
          <w:p w:rsidR="00631C27" w:rsidRPr="00631C27" w:rsidRDefault="00631C27" w:rsidP="00631C27">
            <w:pPr>
              <w:spacing w:line="340" w:lineRule="atLeast"/>
              <w:rPr>
                <w:rFonts w:ascii="Verdana" w:hAnsi="Verdana"/>
                <w:sz w:val="36"/>
                <w:szCs w:val="36"/>
              </w:rPr>
            </w:pPr>
          </w:p>
          <w:p w:rsidR="0035585A" w:rsidRPr="0035585A" w:rsidRDefault="0035585A">
            <w:pPr>
              <w:pStyle w:val="SemEspaamento"/>
              <w:rPr>
                <w:color w:val="76923C"/>
              </w:rPr>
            </w:pPr>
          </w:p>
          <w:tbl>
            <w:tblPr>
              <w:tblpPr w:leftFromText="187" w:rightFromText="187" w:vertAnchor="page" w:horzAnchor="margin" w:tblpY="1"/>
              <w:tblOverlap w:val="never"/>
              <w:tblW w:w="7899" w:type="dxa"/>
              <w:tblLook w:val="04A0"/>
            </w:tblPr>
            <w:tblGrid>
              <w:gridCol w:w="7899"/>
            </w:tblGrid>
            <w:tr w:rsidR="0035585A" w:rsidTr="0035585A">
              <w:trPr>
                <w:trHeight w:val="975"/>
              </w:trPr>
              <w:tc>
                <w:tcPr>
                  <w:tcW w:w="0" w:type="auto"/>
                </w:tcPr>
                <w:p w:rsidR="0035585A" w:rsidRDefault="0035585A" w:rsidP="00247CD9">
                  <w:pPr>
                    <w:pStyle w:val="SemEspaamento"/>
                    <w:rPr>
                      <w:b/>
                      <w:bCs/>
                      <w:caps/>
                      <w:color w:val="FF0000"/>
                      <w:sz w:val="32"/>
                      <w:szCs w:val="32"/>
                    </w:rPr>
                  </w:pPr>
                </w:p>
                <w:p w:rsidR="00B9737D" w:rsidRDefault="00B9737D" w:rsidP="00247CD9">
                  <w:pPr>
                    <w:pStyle w:val="SemEspaamento"/>
                    <w:rPr>
                      <w:b/>
                      <w:bCs/>
                      <w:caps/>
                      <w:color w:val="FF0000"/>
                      <w:sz w:val="32"/>
                      <w:szCs w:val="32"/>
                    </w:rPr>
                  </w:pPr>
                </w:p>
                <w:p w:rsidR="00B9737D" w:rsidRDefault="00B9737D" w:rsidP="00247CD9">
                  <w:pPr>
                    <w:pStyle w:val="SemEspaamento"/>
                    <w:rPr>
                      <w:b/>
                      <w:bCs/>
                      <w:caps/>
                      <w:color w:val="FF0000"/>
                      <w:sz w:val="32"/>
                      <w:szCs w:val="32"/>
                    </w:rPr>
                  </w:pPr>
                </w:p>
                <w:p w:rsidR="00B9737D" w:rsidRDefault="00B9737D" w:rsidP="00247CD9">
                  <w:pPr>
                    <w:pStyle w:val="SemEspaamento"/>
                    <w:rPr>
                      <w:b/>
                      <w:bCs/>
                      <w:caps/>
                      <w:color w:val="FF0000"/>
                      <w:sz w:val="32"/>
                      <w:szCs w:val="32"/>
                    </w:rPr>
                  </w:pPr>
                </w:p>
                <w:p w:rsidR="00B9737D" w:rsidRPr="003A3911" w:rsidRDefault="00B9737D" w:rsidP="00247CD9">
                  <w:pPr>
                    <w:pStyle w:val="SemEspaamento"/>
                    <w:rPr>
                      <w:b/>
                      <w:bCs/>
                      <w:caps/>
                      <w:color w:val="FF0000"/>
                      <w:sz w:val="32"/>
                      <w:szCs w:val="32"/>
                    </w:rPr>
                  </w:pPr>
                </w:p>
              </w:tc>
            </w:tr>
            <w:tr w:rsidR="0035585A" w:rsidTr="00C35640">
              <w:trPr>
                <w:trHeight w:val="1013"/>
              </w:trPr>
              <w:tc>
                <w:tcPr>
                  <w:tcW w:w="0" w:type="auto"/>
                </w:tcPr>
                <w:p w:rsidR="008A5FCD" w:rsidRDefault="008A5FCD" w:rsidP="00247CD9">
                  <w:pPr>
                    <w:pStyle w:val="SemEspaamento"/>
                    <w:rPr>
                      <w:rFonts w:ascii="Verdana" w:hAnsi="Verdana"/>
                      <w:b/>
                      <w:sz w:val="40"/>
                      <w:szCs w:val="40"/>
                    </w:rPr>
                  </w:pPr>
                  <w:r>
                    <w:rPr>
                      <w:rFonts w:ascii="Verdana" w:hAnsi="Verdana"/>
                      <w:b/>
                      <w:sz w:val="40"/>
                      <w:szCs w:val="40"/>
                    </w:rPr>
                    <w:t>RELATÓRIO</w:t>
                  </w:r>
                </w:p>
                <w:p w:rsidR="008A5FCD" w:rsidRDefault="008A5FCD" w:rsidP="00247CD9">
                  <w:pPr>
                    <w:pStyle w:val="SemEspaamento"/>
                    <w:rPr>
                      <w:rFonts w:ascii="Verdana" w:hAnsi="Verdana"/>
                      <w:b/>
                      <w:sz w:val="40"/>
                      <w:szCs w:val="40"/>
                    </w:rPr>
                  </w:pPr>
                </w:p>
                <w:p w:rsidR="0035585A" w:rsidRPr="00B9737D" w:rsidRDefault="004042A6" w:rsidP="008A5FCD">
                  <w:pPr>
                    <w:pStyle w:val="SemEspaamento"/>
                    <w:rPr>
                      <w:b/>
                      <w:sz w:val="36"/>
                      <w:szCs w:val="36"/>
                    </w:rPr>
                  </w:pPr>
                  <w:r>
                    <w:rPr>
                      <w:rFonts w:ascii="Verdana" w:hAnsi="Verdana"/>
                      <w:b/>
                      <w:sz w:val="40"/>
                      <w:szCs w:val="40"/>
                    </w:rPr>
                    <w:t xml:space="preserve">PLANO DE REABILITAÇÃO </w:t>
                  </w:r>
                </w:p>
              </w:tc>
            </w:tr>
          </w:tbl>
          <w:p w:rsidR="0035585A" w:rsidRPr="0035585A" w:rsidRDefault="0035585A">
            <w:pPr>
              <w:pStyle w:val="SemEspaamento"/>
              <w:rPr>
                <w:color w:val="76923C"/>
              </w:rPr>
            </w:pPr>
          </w:p>
          <w:p w:rsidR="0035585A" w:rsidRPr="0035585A" w:rsidRDefault="0035585A">
            <w:pPr>
              <w:pStyle w:val="SemEspaamento"/>
              <w:rPr>
                <w:color w:val="76923C"/>
              </w:rPr>
            </w:pPr>
          </w:p>
        </w:tc>
      </w:tr>
      <w:tr w:rsidR="00631C27">
        <w:trPr>
          <w:trHeight w:val="2880"/>
        </w:trPr>
        <w:tc>
          <w:tcPr>
            <w:tcW w:w="1440" w:type="dxa"/>
            <w:tcBorders>
              <w:right w:val="single" w:sz="4" w:space="0" w:color="000000"/>
            </w:tcBorders>
          </w:tcPr>
          <w:p w:rsidR="00631C27" w:rsidRDefault="00631C27"/>
        </w:tc>
        <w:tc>
          <w:tcPr>
            <w:tcW w:w="2520" w:type="dxa"/>
            <w:tcBorders>
              <w:left w:val="single" w:sz="4" w:space="0" w:color="000000"/>
            </w:tcBorders>
            <w:vAlign w:val="center"/>
          </w:tcPr>
          <w:p w:rsidR="00631C27" w:rsidRPr="00631C27" w:rsidRDefault="00631C27" w:rsidP="00631C27">
            <w:pPr>
              <w:spacing w:line="340" w:lineRule="atLeast"/>
              <w:rPr>
                <w:rFonts w:ascii="Verdana" w:hAnsi="Verdana"/>
                <w:sz w:val="36"/>
                <w:szCs w:val="36"/>
              </w:rPr>
            </w:pPr>
          </w:p>
        </w:tc>
      </w:tr>
    </w:tbl>
    <w:p w:rsidR="0035585A" w:rsidRDefault="00D953C8">
      <w:r>
        <w:rPr>
          <w:rFonts w:ascii="Verdana" w:hAnsi="Verdana"/>
          <w:noProof/>
          <w:sz w:val="56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151130</wp:posOffset>
            </wp:positionH>
            <wp:positionV relativeFrom="paragraph">
              <wp:posOffset>-445770</wp:posOffset>
            </wp:positionV>
            <wp:extent cx="914400" cy="773430"/>
            <wp:effectExtent l="19050" t="0" r="0" b="0"/>
            <wp:wrapTight wrapText="bothSides">
              <wp:wrapPolygon edited="0">
                <wp:start x="-450" y="0"/>
                <wp:lineTo x="-450" y="21281"/>
                <wp:lineTo x="21600" y="21281"/>
                <wp:lineTo x="21600" y="0"/>
                <wp:lineTo x="-450" y="0"/>
              </wp:wrapPolygon>
            </wp:wrapTight>
            <wp:docPr id="3" name="Imagem 121" descr="logo_nufarm_p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1" descr="logo_nufarm_peq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585A" w:rsidRDefault="0035585A"/>
    <w:p w:rsidR="0035585A" w:rsidRDefault="0035585A"/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157EC4" w:rsidRDefault="00157EC4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810F5F" w:rsidRDefault="00810F5F">
      <w:pPr>
        <w:rPr>
          <w:rFonts w:ascii="Verdana" w:hAnsi="Verdana"/>
        </w:rPr>
      </w:pPr>
    </w:p>
    <w:p w:rsidR="000B7A73" w:rsidRPr="000B7A73" w:rsidRDefault="000B7A73">
      <w:pPr>
        <w:rPr>
          <w:rFonts w:ascii="Verdana" w:hAnsi="Verdana"/>
        </w:rPr>
      </w:pPr>
    </w:p>
    <w:p w:rsidR="000B7A73" w:rsidRPr="000B7A73" w:rsidRDefault="000B7A73">
      <w:pPr>
        <w:rPr>
          <w:rFonts w:ascii="Verdana" w:hAnsi="Verdana"/>
        </w:rPr>
      </w:pPr>
    </w:p>
    <w:p w:rsidR="000C4820" w:rsidRDefault="000C4820" w:rsidP="00810F5F">
      <w:pPr>
        <w:pStyle w:val="SemEspaamento"/>
        <w:jc w:val="right"/>
        <w:rPr>
          <w:b/>
          <w:bCs/>
          <w:caps/>
          <w:sz w:val="72"/>
          <w:szCs w:val="72"/>
        </w:rPr>
      </w:pPr>
    </w:p>
    <w:p w:rsidR="003A3911" w:rsidRDefault="004042A6" w:rsidP="00810F5F">
      <w:pPr>
        <w:pStyle w:val="SemEspaamento"/>
        <w:jc w:val="right"/>
        <w:rPr>
          <w:b/>
          <w:bCs/>
          <w:caps/>
          <w:sz w:val="72"/>
          <w:szCs w:val="72"/>
        </w:rPr>
      </w:pPr>
      <w:r>
        <w:rPr>
          <w:b/>
          <w:bCs/>
          <w:caps/>
          <w:sz w:val="72"/>
          <w:szCs w:val="72"/>
        </w:rPr>
        <w:t>mdt</w:t>
      </w:r>
    </w:p>
    <w:p w:rsidR="000C4820" w:rsidRPr="000C4820" w:rsidRDefault="000C4820" w:rsidP="00810F5F">
      <w:pPr>
        <w:pStyle w:val="SemEspaamento"/>
        <w:jc w:val="right"/>
        <w:rPr>
          <w:b/>
          <w:bCs/>
          <w:caps/>
          <w:sz w:val="16"/>
          <w:szCs w:val="16"/>
        </w:rPr>
      </w:pPr>
    </w:p>
    <w:p w:rsidR="00C279D7" w:rsidRPr="00C279D7" w:rsidRDefault="00C279D7" w:rsidP="00C279D7">
      <w:pPr>
        <w:tabs>
          <w:tab w:val="left" w:pos="-290"/>
          <w:tab w:val="left" w:pos="170"/>
          <w:tab w:val="left" w:pos="650"/>
          <w:tab w:val="left" w:pos="1145"/>
          <w:tab w:val="left" w:pos="1725"/>
          <w:tab w:val="left" w:pos="2286"/>
          <w:tab w:val="left" w:pos="2897"/>
          <w:tab w:val="left" w:pos="3886"/>
          <w:tab w:val="left" w:pos="4472"/>
          <w:tab w:val="left" w:pos="4791"/>
          <w:tab w:val="left" w:pos="5389"/>
          <w:tab w:val="left" w:pos="5600"/>
          <w:tab w:val="left" w:pos="6078"/>
          <w:tab w:val="left" w:pos="6337"/>
          <w:tab w:val="left" w:pos="6971"/>
          <w:tab w:val="left" w:pos="7185"/>
          <w:tab w:val="left" w:pos="7521"/>
          <w:tab w:val="left" w:pos="7857"/>
          <w:tab w:val="left" w:pos="8439"/>
          <w:tab w:val="left" w:pos="8898"/>
          <w:tab w:val="left" w:pos="9357"/>
          <w:tab w:val="left" w:pos="9816"/>
          <w:tab w:val="left" w:pos="10296"/>
          <w:tab w:val="left" w:pos="13112"/>
        </w:tabs>
        <w:ind w:left="-470"/>
        <w:jc w:val="center"/>
        <w:rPr>
          <w:rFonts w:ascii="Verdana" w:hAnsi="Verdana" w:cs="Arial"/>
          <w:b/>
          <w:sz w:val="2"/>
          <w:szCs w:val="2"/>
        </w:rPr>
      </w:pPr>
    </w:p>
    <w:p w:rsidR="00C35640" w:rsidRDefault="00C35640" w:rsidP="008125D8">
      <w:pPr>
        <w:spacing w:line="340" w:lineRule="atLeast"/>
        <w:rPr>
          <w:rFonts w:ascii="Verdana" w:hAnsi="Verdana"/>
          <w:b/>
          <w:sz w:val="18"/>
          <w:szCs w:val="18"/>
        </w:rPr>
      </w:pPr>
    </w:p>
    <w:p w:rsidR="001378A3" w:rsidRDefault="001378A3" w:rsidP="00C15476">
      <w:pPr>
        <w:spacing w:line="340" w:lineRule="atLeast"/>
        <w:jc w:val="both"/>
        <w:rPr>
          <w:rFonts w:ascii="Verdana" w:hAnsi="Verdana"/>
          <w:b/>
          <w:sz w:val="18"/>
          <w:szCs w:val="18"/>
        </w:rPr>
      </w:pPr>
    </w:p>
    <w:p w:rsidR="00631C27" w:rsidRDefault="00631C27" w:rsidP="00C15476">
      <w:pPr>
        <w:spacing w:line="340" w:lineRule="atLeast"/>
        <w:jc w:val="both"/>
        <w:rPr>
          <w:rFonts w:ascii="Verdana" w:hAnsi="Verdana"/>
          <w:b/>
          <w:sz w:val="18"/>
          <w:szCs w:val="18"/>
        </w:rPr>
      </w:pPr>
    </w:p>
    <w:p w:rsidR="00631C27" w:rsidRDefault="00631C27" w:rsidP="00C15476">
      <w:pPr>
        <w:spacing w:line="340" w:lineRule="atLeast"/>
        <w:jc w:val="both"/>
        <w:rPr>
          <w:rFonts w:ascii="Verdana" w:hAnsi="Verdana"/>
          <w:b/>
          <w:sz w:val="18"/>
          <w:szCs w:val="18"/>
        </w:rPr>
      </w:pPr>
    </w:p>
    <w:p w:rsidR="001F5335" w:rsidRDefault="001F5335" w:rsidP="001F5335">
      <w:pPr>
        <w:spacing w:line="340" w:lineRule="atLeast"/>
        <w:jc w:val="both"/>
        <w:rPr>
          <w:rFonts w:ascii="Verdana" w:hAnsi="Verdana"/>
          <w:b/>
          <w:sz w:val="18"/>
          <w:szCs w:val="18"/>
        </w:rPr>
      </w:pPr>
      <w:r w:rsidRPr="00207139">
        <w:rPr>
          <w:rFonts w:ascii="Verdana" w:hAnsi="Verdana"/>
          <w:b/>
          <w:sz w:val="18"/>
          <w:szCs w:val="18"/>
        </w:rPr>
        <w:lastRenderedPageBreak/>
        <w:t xml:space="preserve">INTRODUÇÃO </w:t>
      </w:r>
    </w:p>
    <w:p w:rsidR="001F5335" w:rsidRPr="00207139" w:rsidRDefault="001F5335" w:rsidP="001F5335">
      <w:pPr>
        <w:spacing w:line="340" w:lineRule="atLeast"/>
        <w:jc w:val="both"/>
        <w:rPr>
          <w:rFonts w:ascii="Verdana" w:hAnsi="Verdana"/>
          <w:b/>
          <w:sz w:val="18"/>
          <w:szCs w:val="18"/>
        </w:rPr>
      </w:pPr>
    </w:p>
    <w:p w:rsidR="001F5335" w:rsidRDefault="001F5335" w:rsidP="00F142C2">
      <w:pPr>
        <w:spacing w:line="340" w:lineRule="atLeast"/>
        <w:ind w:firstLine="56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O Plano de reabilitação </w:t>
      </w:r>
      <w:r w:rsidR="000F26BD">
        <w:rPr>
          <w:rFonts w:ascii="Verdana" w:hAnsi="Verdana"/>
          <w:sz w:val="18"/>
          <w:szCs w:val="18"/>
        </w:rPr>
        <w:t>iniciou-se</w:t>
      </w:r>
      <w:r>
        <w:rPr>
          <w:rFonts w:ascii="Verdana" w:hAnsi="Verdana"/>
          <w:sz w:val="18"/>
          <w:szCs w:val="18"/>
        </w:rPr>
        <w:t xml:space="preserve"> em 2010 visando o cuidado com </w:t>
      </w:r>
      <w:r w:rsidR="008236FB">
        <w:rPr>
          <w:rFonts w:ascii="Verdana" w:hAnsi="Verdana"/>
          <w:sz w:val="18"/>
          <w:szCs w:val="18"/>
        </w:rPr>
        <w:t>os funcionários com acidentes</w:t>
      </w:r>
      <w:r w:rsidR="00F142C2">
        <w:rPr>
          <w:rFonts w:ascii="Verdana" w:hAnsi="Verdana"/>
          <w:sz w:val="18"/>
          <w:szCs w:val="18"/>
        </w:rPr>
        <w:t xml:space="preserve"> ou doenças comuns</w:t>
      </w:r>
      <w:r>
        <w:rPr>
          <w:rFonts w:ascii="Verdana" w:hAnsi="Verdana"/>
          <w:sz w:val="18"/>
          <w:szCs w:val="18"/>
        </w:rPr>
        <w:t xml:space="preserve">. Tem como objetivo a </w:t>
      </w:r>
      <w:r w:rsidR="00F142C2">
        <w:rPr>
          <w:rFonts w:ascii="Verdana" w:hAnsi="Verdana"/>
          <w:sz w:val="18"/>
          <w:szCs w:val="18"/>
        </w:rPr>
        <w:t xml:space="preserve">desenvolver uma atividade </w:t>
      </w:r>
      <w:r w:rsidR="000F26BD">
        <w:rPr>
          <w:rFonts w:ascii="Verdana" w:hAnsi="Verdana"/>
          <w:sz w:val="18"/>
          <w:szCs w:val="18"/>
        </w:rPr>
        <w:t>produtiva</w:t>
      </w:r>
      <w:r w:rsidR="00F142C2">
        <w:rPr>
          <w:rFonts w:ascii="Verdana" w:hAnsi="Verdana"/>
          <w:sz w:val="18"/>
          <w:szCs w:val="18"/>
        </w:rPr>
        <w:t xml:space="preserve"> ao profissional quando o mesmo sofrer algum acidente ou tem uma doença de pequeno impacto</w:t>
      </w:r>
    </w:p>
    <w:p w:rsidR="00F142C2" w:rsidRDefault="00F142C2" w:rsidP="00F142C2">
      <w:pPr>
        <w:spacing w:line="340" w:lineRule="atLeast"/>
        <w:ind w:firstLine="567"/>
        <w:jc w:val="both"/>
        <w:rPr>
          <w:rFonts w:ascii="Verdana" w:hAnsi="Verdana"/>
          <w:b/>
          <w:sz w:val="18"/>
          <w:szCs w:val="18"/>
        </w:rPr>
      </w:pPr>
    </w:p>
    <w:p w:rsidR="00C753FD" w:rsidRDefault="008125D8" w:rsidP="006B7C8D">
      <w:pPr>
        <w:spacing w:line="340" w:lineRule="atLeast"/>
        <w:jc w:val="both"/>
        <w:rPr>
          <w:rFonts w:ascii="Verdana" w:hAnsi="Verdana"/>
          <w:sz w:val="18"/>
          <w:szCs w:val="18"/>
        </w:rPr>
      </w:pPr>
      <w:r w:rsidRPr="00C605BB">
        <w:rPr>
          <w:rFonts w:ascii="Verdana" w:hAnsi="Verdana"/>
          <w:b/>
          <w:sz w:val="18"/>
          <w:szCs w:val="18"/>
        </w:rPr>
        <w:t>OBJETIVO</w:t>
      </w:r>
    </w:p>
    <w:p w:rsidR="001F5335" w:rsidRDefault="001F5335" w:rsidP="006B7C8D">
      <w:pPr>
        <w:spacing w:line="340" w:lineRule="atLeast"/>
        <w:ind w:firstLine="567"/>
        <w:jc w:val="both"/>
        <w:rPr>
          <w:rFonts w:ascii="Verdana" w:hAnsi="Verdana"/>
          <w:sz w:val="18"/>
          <w:szCs w:val="18"/>
        </w:rPr>
      </w:pPr>
    </w:p>
    <w:p w:rsidR="00207139" w:rsidRDefault="00622398" w:rsidP="006B7C8D">
      <w:pPr>
        <w:spacing w:line="340" w:lineRule="atLeast"/>
        <w:ind w:firstLine="56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Apresentar </w:t>
      </w:r>
      <w:r w:rsidR="00A52150">
        <w:rPr>
          <w:rFonts w:ascii="Verdana" w:hAnsi="Verdana"/>
          <w:sz w:val="18"/>
          <w:szCs w:val="18"/>
        </w:rPr>
        <w:t>o plano de reabilitação em 2010</w:t>
      </w:r>
      <w:r w:rsidR="00F142C2">
        <w:rPr>
          <w:rFonts w:ascii="Verdana" w:hAnsi="Verdana"/>
          <w:sz w:val="18"/>
          <w:szCs w:val="18"/>
        </w:rPr>
        <w:t>.</w:t>
      </w:r>
    </w:p>
    <w:p w:rsidR="00207139" w:rsidRDefault="00622398" w:rsidP="006B7C8D">
      <w:pPr>
        <w:spacing w:line="340" w:lineRule="atLeast"/>
        <w:ind w:firstLine="56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Apresentar</w:t>
      </w:r>
      <w:r w:rsidR="00A52150">
        <w:rPr>
          <w:rFonts w:ascii="Verdana" w:hAnsi="Verdana"/>
          <w:sz w:val="18"/>
          <w:szCs w:val="18"/>
        </w:rPr>
        <w:t xml:space="preserve"> os afastamentos evitados por acidente de trabalho</w:t>
      </w:r>
      <w:r w:rsidR="001F5335">
        <w:rPr>
          <w:rFonts w:ascii="Verdana" w:hAnsi="Verdana"/>
          <w:sz w:val="18"/>
          <w:szCs w:val="18"/>
        </w:rPr>
        <w:t xml:space="preserve"> e por doenças com possível relação ao trabalho</w:t>
      </w:r>
      <w:r w:rsidR="00F142C2">
        <w:rPr>
          <w:rFonts w:ascii="Verdana" w:hAnsi="Verdana"/>
          <w:sz w:val="18"/>
          <w:szCs w:val="18"/>
        </w:rPr>
        <w:t>.</w:t>
      </w:r>
    </w:p>
    <w:p w:rsidR="00EB53D4" w:rsidRPr="00EB53D4" w:rsidRDefault="00EB53D4" w:rsidP="00207139">
      <w:pPr>
        <w:spacing w:line="360" w:lineRule="auto"/>
        <w:rPr>
          <w:rFonts w:ascii="Verdana" w:hAnsi="Verdana"/>
          <w:b/>
          <w:sz w:val="18"/>
          <w:szCs w:val="18"/>
        </w:rPr>
      </w:pPr>
    </w:p>
    <w:p w:rsidR="00EB53D4" w:rsidRDefault="00EB53D4" w:rsidP="00207139">
      <w:pPr>
        <w:spacing w:line="360" w:lineRule="auto"/>
        <w:rPr>
          <w:rFonts w:ascii="Verdana" w:hAnsi="Verdana"/>
          <w:b/>
          <w:sz w:val="18"/>
          <w:szCs w:val="18"/>
        </w:rPr>
      </w:pPr>
      <w:r w:rsidRPr="00EB53D4">
        <w:rPr>
          <w:rFonts w:ascii="Verdana" w:hAnsi="Verdana"/>
          <w:b/>
          <w:sz w:val="18"/>
          <w:szCs w:val="18"/>
        </w:rPr>
        <w:t>RESULTADOS</w:t>
      </w:r>
    </w:p>
    <w:p w:rsidR="001378A3" w:rsidRDefault="001378A3" w:rsidP="00207139">
      <w:pPr>
        <w:spacing w:line="360" w:lineRule="auto"/>
        <w:rPr>
          <w:rFonts w:ascii="Verdana" w:hAnsi="Verdana"/>
          <w:b/>
          <w:sz w:val="18"/>
          <w:szCs w:val="18"/>
        </w:rPr>
      </w:pPr>
    </w:p>
    <w:p w:rsidR="00BE6BB0" w:rsidRDefault="001378A3" w:rsidP="006B7C8D">
      <w:pPr>
        <w:spacing w:line="360" w:lineRule="auto"/>
        <w:ind w:firstLine="567"/>
        <w:jc w:val="both"/>
        <w:rPr>
          <w:rFonts w:ascii="Verdana" w:hAnsi="Verdana"/>
          <w:sz w:val="18"/>
          <w:szCs w:val="18"/>
        </w:rPr>
      </w:pPr>
      <w:r w:rsidRPr="001378A3">
        <w:rPr>
          <w:rFonts w:ascii="Verdana" w:hAnsi="Verdana"/>
          <w:sz w:val="18"/>
          <w:szCs w:val="18"/>
        </w:rPr>
        <w:t xml:space="preserve">No ano de 2010, a </w:t>
      </w:r>
      <w:proofErr w:type="spellStart"/>
      <w:r w:rsidRPr="001378A3">
        <w:rPr>
          <w:rFonts w:ascii="Verdana" w:hAnsi="Verdana"/>
          <w:sz w:val="18"/>
          <w:szCs w:val="18"/>
        </w:rPr>
        <w:t>Nufarm</w:t>
      </w:r>
      <w:proofErr w:type="spellEnd"/>
      <w:r w:rsidRPr="001378A3">
        <w:rPr>
          <w:rFonts w:ascii="Verdana" w:hAnsi="Verdana"/>
          <w:sz w:val="18"/>
          <w:szCs w:val="18"/>
        </w:rPr>
        <w:t xml:space="preserve"> teve </w:t>
      </w:r>
      <w:r w:rsidR="001F5335">
        <w:rPr>
          <w:rFonts w:ascii="Verdana" w:hAnsi="Verdana"/>
          <w:sz w:val="18"/>
          <w:szCs w:val="18"/>
        </w:rPr>
        <w:t>26 Plano</w:t>
      </w:r>
      <w:r w:rsidR="00F142C2">
        <w:rPr>
          <w:rFonts w:ascii="Verdana" w:hAnsi="Verdana"/>
          <w:sz w:val="18"/>
          <w:szCs w:val="18"/>
        </w:rPr>
        <w:t>s</w:t>
      </w:r>
      <w:r w:rsidR="001F5335">
        <w:rPr>
          <w:rFonts w:ascii="Verdana" w:hAnsi="Verdana"/>
          <w:sz w:val="18"/>
          <w:szCs w:val="18"/>
        </w:rPr>
        <w:t xml:space="preserve"> de Reabilitação, com duração total de 671 dias. </w:t>
      </w:r>
      <w:r w:rsidR="00BE6BB0">
        <w:rPr>
          <w:rFonts w:ascii="Verdana" w:hAnsi="Verdana"/>
          <w:sz w:val="18"/>
          <w:szCs w:val="18"/>
        </w:rPr>
        <w:t xml:space="preserve">O gráfico em baixo apresenta </w:t>
      </w:r>
      <w:r w:rsidR="00F142C2">
        <w:rPr>
          <w:rFonts w:ascii="Verdana" w:hAnsi="Verdana"/>
          <w:sz w:val="18"/>
          <w:szCs w:val="18"/>
        </w:rPr>
        <w:t>a quantidade</w:t>
      </w:r>
      <w:r w:rsidR="00BE6BB0">
        <w:rPr>
          <w:rFonts w:ascii="Verdana" w:hAnsi="Verdana"/>
          <w:sz w:val="18"/>
          <w:szCs w:val="18"/>
        </w:rPr>
        <w:t xml:space="preserve"> de planos por setor, já indicando o motivo de plano. </w:t>
      </w:r>
      <w:r w:rsidR="00E90D3B">
        <w:rPr>
          <w:rFonts w:ascii="Verdana" w:hAnsi="Verdana"/>
          <w:sz w:val="18"/>
          <w:szCs w:val="18"/>
        </w:rPr>
        <w:t xml:space="preserve">Acidentes de trabalho são aquelas, que foram investigados e confirmados pela ESH. </w:t>
      </w:r>
      <w:r w:rsidR="00BE6BB0">
        <w:rPr>
          <w:rFonts w:ascii="Verdana" w:hAnsi="Verdana"/>
          <w:sz w:val="18"/>
          <w:szCs w:val="18"/>
        </w:rPr>
        <w:t>Fo</w:t>
      </w:r>
      <w:r w:rsidR="004F74B3">
        <w:rPr>
          <w:rFonts w:ascii="Verdana" w:hAnsi="Verdana"/>
          <w:sz w:val="18"/>
          <w:szCs w:val="18"/>
        </w:rPr>
        <w:t>ram classificadas como</w:t>
      </w:r>
      <w:r w:rsidR="00BE6BB0">
        <w:rPr>
          <w:rFonts w:ascii="Verdana" w:hAnsi="Verdana"/>
          <w:sz w:val="18"/>
          <w:szCs w:val="18"/>
        </w:rPr>
        <w:t xml:space="preserve"> doença com possível relação ao </w:t>
      </w:r>
      <w:r w:rsidR="00E90D3B">
        <w:rPr>
          <w:rFonts w:ascii="Verdana" w:hAnsi="Verdana"/>
          <w:sz w:val="18"/>
          <w:szCs w:val="18"/>
        </w:rPr>
        <w:t xml:space="preserve">trabalho aquelas, que durante investigação chegamos </w:t>
      </w:r>
      <w:r w:rsidR="00F142C2">
        <w:rPr>
          <w:rFonts w:ascii="Verdana" w:hAnsi="Verdana"/>
          <w:sz w:val="18"/>
          <w:szCs w:val="18"/>
        </w:rPr>
        <w:t>à conclusão</w:t>
      </w:r>
      <w:r w:rsidR="00E90D3B">
        <w:rPr>
          <w:rFonts w:ascii="Verdana" w:hAnsi="Verdana"/>
          <w:sz w:val="18"/>
          <w:szCs w:val="18"/>
        </w:rPr>
        <w:t>, que teve fatores externos como causa, mais poderiam ter acontecido na empresa, ou poderiam ter piorado, se o funcionário não tivesse entrado no plano de reabilitação.</w:t>
      </w:r>
    </w:p>
    <w:p w:rsidR="006B7C8D" w:rsidRDefault="006B7C8D" w:rsidP="006B7C8D">
      <w:pPr>
        <w:spacing w:line="360" w:lineRule="auto"/>
        <w:ind w:firstLine="567"/>
        <w:jc w:val="both"/>
        <w:rPr>
          <w:rFonts w:ascii="Verdana" w:hAnsi="Verdana"/>
          <w:sz w:val="18"/>
          <w:szCs w:val="18"/>
        </w:rPr>
      </w:pPr>
    </w:p>
    <w:p w:rsidR="00BE6BB0" w:rsidRDefault="00BE6BB0" w:rsidP="001378A3">
      <w:pPr>
        <w:spacing w:line="360" w:lineRule="auto"/>
        <w:jc w:val="both"/>
        <w:rPr>
          <w:rFonts w:ascii="Verdana" w:hAnsi="Verdana"/>
          <w:sz w:val="18"/>
          <w:szCs w:val="18"/>
        </w:rPr>
      </w:pPr>
      <w:r w:rsidRPr="00BE6BB0"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4867275" cy="3028950"/>
            <wp:effectExtent l="19050" t="0" r="9525" b="0"/>
            <wp:docPr id="5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E6BB0" w:rsidRDefault="00BE6BB0" w:rsidP="001378A3">
      <w:pPr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BE6BB0" w:rsidRDefault="00BE6BB0" w:rsidP="001378A3">
      <w:pPr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BE6BB0" w:rsidRPr="00622398" w:rsidRDefault="00BE6BB0" w:rsidP="001378A3">
      <w:pPr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622398" w:rsidRPr="00622398" w:rsidRDefault="00622398" w:rsidP="00622398">
      <w:pPr>
        <w:spacing w:line="360" w:lineRule="auto"/>
        <w:ind w:firstLine="851"/>
        <w:rPr>
          <w:rFonts w:ascii="Verdana" w:hAnsi="Verdana"/>
          <w:sz w:val="18"/>
          <w:szCs w:val="18"/>
        </w:rPr>
      </w:pPr>
      <w:r w:rsidRPr="00622398">
        <w:rPr>
          <w:rFonts w:ascii="Verdana" w:hAnsi="Verdana"/>
          <w:sz w:val="18"/>
          <w:szCs w:val="18"/>
        </w:rPr>
        <w:t xml:space="preserve">O gráfico abaixo demonstra a </w:t>
      </w:r>
      <w:proofErr w:type="gramStart"/>
      <w:r w:rsidRPr="00622398">
        <w:rPr>
          <w:rFonts w:ascii="Verdana" w:hAnsi="Verdana"/>
          <w:sz w:val="18"/>
          <w:szCs w:val="18"/>
        </w:rPr>
        <w:t>performance</w:t>
      </w:r>
      <w:proofErr w:type="gramEnd"/>
      <w:r w:rsidRPr="00622398">
        <w:rPr>
          <w:rFonts w:ascii="Verdana" w:hAnsi="Verdana"/>
          <w:sz w:val="18"/>
          <w:szCs w:val="18"/>
        </w:rPr>
        <w:t xml:space="preserve"> do plano de reabilitação com relação aos dias de afastamento caso o profissional não autorizasse o encaminhamento ao plano de reabilitação. Evitamos 259 dias de afastam</w:t>
      </w:r>
      <w:r>
        <w:rPr>
          <w:rFonts w:ascii="Verdana" w:hAnsi="Verdana"/>
          <w:sz w:val="18"/>
          <w:szCs w:val="18"/>
        </w:rPr>
        <w:t>ento durante o ano 2010.</w:t>
      </w:r>
    </w:p>
    <w:p w:rsidR="001F5335" w:rsidRDefault="001F5335" w:rsidP="001378A3">
      <w:pPr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1378A3" w:rsidRDefault="00BE6BB0" w:rsidP="00207139">
      <w:pPr>
        <w:spacing w:line="360" w:lineRule="auto"/>
        <w:rPr>
          <w:rFonts w:ascii="Verdana" w:hAnsi="Verdana"/>
          <w:b/>
          <w:sz w:val="18"/>
          <w:szCs w:val="18"/>
        </w:rPr>
      </w:pPr>
      <w:r w:rsidRPr="00BE6BB0">
        <w:rPr>
          <w:rFonts w:ascii="Verdana" w:hAnsi="Verdana"/>
          <w:b/>
          <w:noProof/>
          <w:sz w:val="18"/>
          <w:szCs w:val="18"/>
        </w:rPr>
        <w:drawing>
          <wp:inline distT="0" distB="0" distL="0" distR="0">
            <wp:extent cx="5612130" cy="2508250"/>
            <wp:effectExtent l="19050" t="0" r="26670" b="6350"/>
            <wp:docPr id="2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378A3" w:rsidRDefault="001378A3" w:rsidP="00207139">
      <w:pPr>
        <w:spacing w:line="360" w:lineRule="auto"/>
        <w:rPr>
          <w:rFonts w:ascii="Verdana" w:hAnsi="Verdana"/>
          <w:b/>
          <w:sz w:val="18"/>
          <w:szCs w:val="18"/>
        </w:rPr>
      </w:pPr>
    </w:p>
    <w:p w:rsidR="006B7C8D" w:rsidRDefault="006B7C8D" w:rsidP="006B7C8D">
      <w:pPr>
        <w:spacing w:line="360" w:lineRule="auto"/>
        <w:ind w:firstLine="851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Evitando os afastamentos em caso de acidente de trabalho não somente ganhamos dias de produção, mais evitamos geração de CAT (Comunicação de Acidente do Trabalho) e conseqüentemente diminuição de FAP (Fator Acidentário Previdenciário). O gráfico abaixo demonstra </w:t>
      </w:r>
      <w:r w:rsidR="00622398">
        <w:rPr>
          <w:rFonts w:ascii="Verdana" w:hAnsi="Verdana"/>
          <w:sz w:val="18"/>
          <w:szCs w:val="18"/>
        </w:rPr>
        <w:t>a duração</w:t>
      </w:r>
      <w:r w:rsidR="008236FB">
        <w:rPr>
          <w:rFonts w:ascii="Verdana" w:hAnsi="Verdana"/>
          <w:sz w:val="18"/>
          <w:szCs w:val="18"/>
        </w:rPr>
        <w:t xml:space="preserve"> do</w:t>
      </w:r>
      <w:r>
        <w:rPr>
          <w:rFonts w:ascii="Verdana" w:hAnsi="Verdana"/>
          <w:sz w:val="18"/>
          <w:szCs w:val="18"/>
        </w:rPr>
        <w:t>s planos por acidente de trabalho, e os dias evitados por setor.</w:t>
      </w:r>
    </w:p>
    <w:p w:rsidR="006B7C8D" w:rsidRDefault="006B7C8D" w:rsidP="00207139">
      <w:pPr>
        <w:spacing w:line="360" w:lineRule="auto"/>
        <w:rPr>
          <w:rFonts w:ascii="Verdana" w:hAnsi="Verdana"/>
          <w:b/>
          <w:sz w:val="18"/>
          <w:szCs w:val="18"/>
        </w:rPr>
      </w:pPr>
    </w:p>
    <w:p w:rsidR="006B7C8D" w:rsidRDefault="006B7C8D" w:rsidP="00207139">
      <w:pPr>
        <w:spacing w:line="360" w:lineRule="auto"/>
        <w:rPr>
          <w:rFonts w:ascii="Verdana" w:hAnsi="Verdana"/>
          <w:b/>
          <w:sz w:val="18"/>
          <w:szCs w:val="18"/>
        </w:rPr>
      </w:pPr>
      <w:r w:rsidRPr="006B7C8D">
        <w:rPr>
          <w:rFonts w:ascii="Verdana" w:hAnsi="Verdana"/>
          <w:b/>
          <w:noProof/>
          <w:sz w:val="18"/>
          <w:szCs w:val="18"/>
        </w:rPr>
        <w:drawing>
          <wp:inline distT="0" distB="0" distL="0" distR="0">
            <wp:extent cx="4572000" cy="2743200"/>
            <wp:effectExtent l="19050" t="0" r="19050" b="0"/>
            <wp:docPr id="6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B7C8D" w:rsidRPr="00EB53D4" w:rsidRDefault="006B7C8D" w:rsidP="00207139">
      <w:pPr>
        <w:spacing w:line="360" w:lineRule="auto"/>
        <w:rPr>
          <w:rFonts w:ascii="Verdana" w:hAnsi="Verdana"/>
          <w:b/>
          <w:sz w:val="18"/>
          <w:szCs w:val="18"/>
        </w:rPr>
      </w:pPr>
    </w:p>
    <w:p w:rsidR="00EB53D4" w:rsidRDefault="00EB53D4" w:rsidP="00207139">
      <w:pPr>
        <w:spacing w:line="360" w:lineRule="auto"/>
        <w:rPr>
          <w:rFonts w:ascii="Verdana" w:hAnsi="Verdana"/>
          <w:sz w:val="18"/>
          <w:szCs w:val="18"/>
        </w:rPr>
      </w:pPr>
    </w:p>
    <w:p w:rsidR="00622398" w:rsidRDefault="00622398" w:rsidP="00325247">
      <w:pPr>
        <w:spacing w:line="360" w:lineRule="auto"/>
        <w:ind w:firstLine="851"/>
        <w:jc w:val="both"/>
        <w:rPr>
          <w:rFonts w:ascii="Verdana" w:hAnsi="Verdana"/>
          <w:sz w:val="18"/>
          <w:szCs w:val="18"/>
        </w:rPr>
      </w:pPr>
    </w:p>
    <w:p w:rsidR="00C05EEB" w:rsidRDefault="00C05EEB" w:rsidP="00325247">
      <w:pPr>
        <w:spacing w:line="360" w:lineRule="auto"/>
        <w:ind w:firstLine="85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No gráfico</w:t>
      </w:r>
      <w:r w:rsidR="00622398">
        <w:rPr>
          <w:rFonts w:ascii="Verdana" w:hAnsi="Verdana"/>
          <w:sz w:val="18"/>
          <w:szCs w:val="18"/>
        </w:rPr>
        <w:t xml:space="preserve"> abaixo demonstra </w:t>
      </w:r>
      <w:r>
        <w:rPr>
          <w:rFonts w:ascii="Verdana" w:hAnsi="Verdana"/>
          <w:sz w:val="18"/>
          <w:szCs w:val="18"/>
        </w:rPr>
        <w:t xml:space="preserve">a desempenho em relação de doenças que podem ter relação com o trabalho. Neste grupo se - enquadram </w:t>
      </w:r>
      <w:r w:rsidR="00BE0030">
        <w:rPr>
          <w:rFonts w:ascii="Verdana" w:hAnsi="Verdana"/>
          <w:sz w:val="18"/>
          <w:szCs w:val="18"/>
        </w:rPr>
        <w:t xml:space="preserve">as </w:t>
      </w:r>
      <w:r>
        <w:rPr>
          <w:rFonts w:ascii="Verdana" w:hAnsi="Verdana"/>
          <w:sz w:val="18"/>
          <w:szCs w:val="18"/>
        </w:rPr>
        <w:t xml:space="preserve">doenças </w:t>
      </w:r>
      <w:proofErr w:type="spellStart"/>
      <w:r w:rsidR="00BE0030">
        <w:rPr>
          <w:rFonts w:ascii="Verdana" w:hAnsi="Verdana"/>
          <w:sz w:val="18"/>
          <w:szCs w:val="18"/>
        </w:rPr>
        <w:t>osteomusculares</w:t>
      </w:r>
      <w:proofErr w:type="spellEnd"/>
      <w:r w:rsidR="00BE0030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 xml:space="preserve">como tendinite e lombalgia. </w:t>
      </w:r>
      <w:proofErr w:type="gramStart"/>
      <w:r w:rsidR="00BE0030">
        <w:rPr>
          <w:rFonts w:ascii="Verdana" w:hAnsi="Verdana"/>
          <w:sz w:val="18"/>
          <w:szCs w:val="18"/>
        </w:rPr>
        <w:t>As casos</w:t>
      </w:r>
      <w:proofErr w:type="gramEnd"/>
      <w:r w:rsidR="00BE0030">
        <w:rPr>
          <w:rFonts w:ascii="Verdana" w:hAnsi="Verdana"/>
          <w:sz w:val="18"/>
          <w:szCs w:val="18"/>
        </w:rPr>
        <w:t xml:space="preserve"> em 2010 foram adquiridos fora do trabalho, mas poderiam ter</w:t>
      </w:r>
      <w:r>
        <w:rPr>
          <w:rFonts w:ascii="Verdana" w:hAnsi="Verdana"/>
          <w:sz w:val="18"/>
          <w:szCs w:val="18"/>
        </w:rPr>
        <w:t xml:space="preserve"> piora</w:t>
      </w:r>
      <w:r w:rsidR="00BE0030">
        <w:rPr>
          <w:rFonts w:ascii="Verdana" w:hAnsi="Verdana"/>
          <w:sz w:val="18"/>
          <w:szCs w:val="18"/>
        </w:rPr>
        <w:t>do</w:t>
      </w:r>
      <w:r>
        <w:rPr>
          <w:rFonts w:ascii="Verdana" w:hAnsi="Verdana"/>
          <w:sz w:val="18"/>
          <w:szCs w:val="18"/>
        </w:rPr>
        <w:t xml:space="preserve"> durante a jornada do trabalho. Quando diagnosticamos precocemente as doenças e afastamos as possíveis causas no ambiente do trabalho, asseguramos o funcionário em relação dos cuidados da empresa, e evitamos que piore, afasta-se, precisando emitir CAT</w:t>
      </w:r>
      <w:r w:rsidRPr="00543E2E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(Comunicação de Acidente do Trabalho).</w:t>
      </w:r>
    </w:p>
    <w:p w:rsidR="00C05EEB" w:rsidRDefault="00C05EEB" w:rsidP="00325247">
      <w:pPr>
        <w:spacing w:line="360" w:lineRule="auto"/>
        <w:ind w:firstLine="851"/>
        <w:jc w:val="both"/>
        <w:rPr>
          <w:rFonts w:ascii="Verdana" w:hAnsi="Verdana"/>
          <w:sz w:val="18"/>
          <w:szCs w:val="18"/>
        </w:rPr>
      </w:pPr>
    </w:p>
    <w:p w:rsidR="001378A3" w:rsidRDefault="001378A3" w:rsidP="00207139">
      <w:pPr>
        <w:spacing w:line="340" w:lineRule="atLeast"/>
        <w:jc w:val="both"/>
        <w:rPr>
          <w:rFonts w:ascii="Verdana" w:hAnsi="Verdana"/>
          <w:sz w:val="18"/>
          <w:szCs w:val="18"/>
        </w:rPr>
      </w:pPr>
    </w:p>
    <w:p w:rsidR="001378A3" w:rsidRDefault="004F74B3" w:rsidP="00207139">
      <w:pPr>
        <w:spacing w:line="340" w:lineRule="atLeast"/>
        <w:jc w:val="both"/>
        <w:rPr>
          <w:rFonts w:ascii="Verdana" w:hAnsi="Verdana"/>
          <w:sz w:val="18"/>
          <w:szCs w:val="18"/>
        </w:rPr>
      </w:pPr>
      <w:r w:rsidRPr="004F74B3">
        <w:rPr>
          <w:rFonts w:ascii="Verdana" w:hAnsi="Verdana"/>
          <w:noProof/>
          <w:sz w:val="18"/>
          <w:szCs w:val="18"/>
        </w:rPr>
        <w:drawing>
          <wp:inline distT="0" distB="0" distL="0" distR="0">
            <wp:extent cx="4572000" cy="2743200"/>
            <wp:effectExtent l="19050" t="0" r="19050" b="0"/>
            <wp:docPr id="8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378A3" w:rsidRDefault="001378A3" w:rsidP="00207139">
      <w:pPr>
        <w:spacing w:line="340" w:lineRule="atLeast"/>
        <w:jc w:val="both"/>
        <w:rPr>
          <w:rFonts w:ascii="Verdana" w:hAnsi="Verdana"/>
          <w:sz w:val="18"/>
          <w:szCs w:val="18"/>
        </w:rPr>
      </w:pPr>
    </w:p>
    <w:p w:rsidR="001378A3" w:rsidRDefault="001378A3" w:rsidP="00207139">
      <w:pPr>
        <w:spacing w:line="340" w:lineRule="atLeast"/>
        <w:jc w:val="both"/>
        <w:rPr>
          <w:rFonts w:ascii="Verdana" w:hAnsi="Verdana"/>
          <w:sz w:val="18"/>
          <w:szCs w:val="18"/>
        </w:rPr>
      </w:pPr>
    </w:p>
    <w:p w:rsidR="004F74B3" w:rsidRDefault="004F74B3" w:rsidP="004F74B3">
      <w:pPr>
        <w:spacing w:line="340" w:lineRule="atLeas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CONCLUSÃO</w:t>
      </w:r>
    </w:p>
    <w:p w:rsidR="00207139" w:rsidRPr="00207139" w:rsidRDefault="00207139" w:rsidP="00207139">
      <w:pPr>
        <w:spacing w:line="340" w:lineRule="atLeast"/>
        <w:jc w:val="both"/>
        <w:rPr>
          <w:rFonts w:ascii="Verdana" w:hAnsi="Verdana"/>
          <w:sz w:val="18"/>
          <w:szCs w:val="18"/>
        </w:rPr>
      </w:pPr>
    </w:p>
    <w:p w:rsidR="00BE0030" w:rsidRDefault="00BE0030" w:rsidP="00622398">
      <w:pPr>
        <w:pStyle w:val="PargrafodaLista"/>
        <w:numPr>
          <w:ilvl w:val="0"/>
          <w:numId w:val="13"/>
        </w:numPr>
        <w:spacing w:line="340" w:lineRule="atLeas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Evitamos 259 dias de afastamento durante o ano de 2010;</w:t>
      </w:r>
    </w:p>
    <w:p w:rsidR="004F74B3" w:rsidRDefault="00622398" w:rsidP="00622398">
      <w:pPr>
        <w:pStyle w:val="PargrafodaLista"/>
        <w:numPr>
          <w:ilvl w:val="0"/>
          <w:numId w:val="13"/>
        </w:numPr>
        <w:spacing w:line="340" w:lineRule="atLeas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Evitamos </w:t>
      </w:r>
      <w:proofErr w:type="gramStart"/>
      <w:r>
        <w:rPr>
          <w:rFonts w:ascii="Verdana" w:hAnsi="Verdana"/>
          <w:sz w:val="18"/>
          <w:szCs w:val="18"/>
        </w:rPr>
        <w:t>5</w:t>
      </w:r>
      <w:proofErr w:type="gram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CATs</w:t>
      </w:r>
      <w:proofErr w:type="spellEnd"/>
      <w:r>
        <w:rPr>
          <w:rFonts w:ascii="Verdana" w:hAnsi="Verdana"/>
          <w:sz w:val="18"/>
          <w:szCs w:val="18"/>
        </w:rPr>
        <w:t xml:space="preserve"> emitidos, totalizando 15 dias de afastamentos por acidente típico</w:t>
      </w:r>
      <w:r w:rsidR="00BE0030">
        <w:rPr>
          <w:rFonts w:ascii="Verdana" w:hAnsi="Verdana"/>
          <w:sz w:val="18"/>
          <w:szCs w:val="18"/>
        </w:rPr>
        <w:t>;</w:t>
      </w:r>
    </w:p>
    <w:p w:rsidR="00622398" w:rsidRPr="00622398" w:rsidRDefault="00BE0030" w:rsidP="00622398">
      <w:pPr>
        <w:pStyle w:val="PargrafodaLista"/>
        <w:numPr>
          <w:ilvl w:val="0"/>
          <w:numId w:val="13"/>
        </w:numPr>
        <w:spacing w:line="340" w:lineRule="atLeas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Evitamos que </w:t>
      </w:r>
      <w:proofErr w:type="gramStart"/>
      <w:r>
        <w:rPr>
          <w:rFonts w:ascii="Verdana" w:hAnsi="Verdana"/>
          <w:sz w:val="18"/>
          <w:szCs w:val="18"/>
        </w:rPr>
        <w:t>5</w:t>
      </w:r>
      <w:proofErr w:type="gramEnd"/>
      <w:r>
        <w:rPr>
          <w:rFonts w:ascii="Verdana" w:hAnsi="Verdana"/>
          <w:sz w:val="18"/>
          <w:szCs w:val="18"/>
        </w:rPr>
        <w:t xml:space="preserve"> pessoas pioram no ambiente do trabalho.</w:t>
      </w:r>
    </w:p>
    <w:sectPr w:rsidR="00622398" w:rsidRPr="00622398" w:rsidSect="00E12370">
      <w:headerReference w:type="default" r:id="rId13"/>
      <w:footerReference w:type="even" r:id="rId14"/>
      <w:footerReference w:type="default" r:id="rId15"/>
      <w:pgSz w:w="11906" w:h="16838"/>
      <w:pgMar w:top="851" w:right="1416" w:bottom="680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58F" w:rsidRDefault="0043458F">
      <w:r>
        <w:separator/>
      </w:r>
    </w:p>
  </w:endnote>
  <w:endnote w:type="continuationSeparator" w:id="0">
    <w:p w:rsidR="0043458F" w:rsidRDefault="00434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2C2" w:rsidRDefault="00274775" w:rsidP="003F7D0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142C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142C2" w:rsidRDefault="00F142C2" w:rsidP="003F7D0D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2C2" w:rsidRDefault="00274775" w:rsidP="003F7D0D">
    <w:pPr>
      <w:pStyle w:val="Rodap"/>
      <w:ind w:right="360"/>
      <w:jc w:val="center"/>
      <w:rPr>
        <w:rFonts w:ascii="Tahoma" w:hAnsi="Tahoma" w:cs="Tahoma"/>
        <w:sz w:val="17"/>
        <w:szCs w:val="17"/>
      </w:rPr>
    </w:pPr>
    <w:r>
      <w:rPr>
        <w:rFonts w:ascii="Tahoma" w:hAnsi="Tahoma" w:cs="Tahoma"/>
        <w:noProof/>
        <w:sz w:val="17"/>
        <w:szCs w:val="17"/>
      </w:rPr>
      <w:pict>
        <v:line id="_x0000_s2061" style="position:absolute;left:0;text-align:left;z-index:251657728" from="18pt,4.75pt" to="495pt,4.75pt"/>
      </w:pict>
    </w:r>
  </w:p>
  <w:p w:rsidR="00F142C2" w:rsidRPr="00A84DF2" w:rsidRDefault="00F142C2" w:rsidP="00DE5A3A">
    <w:pPr>
      <w:pStyle w:val="Rodap"/>
      <w:jc w:val="center"/>
      <w:rPr>
        <w:rFonts w:ascii="Tahoma" w:hAnsi="Tahoma" w:cs="Tahoma"/>
        <w:sz w:val="16"/>
        <w:szCs w:val="16"/>
      </w:rPr>
    </w:pPr>
    <w:r w:rsidRPr="00A84DF2">
      <w:rPr>
        <w:rFonts w:ascii="Tahoma" w:hAnsi="Tahoma" w:cs="Tahoma"/>
        <w:sz w:val="16"/>
        <w:szCs w:val="16"/>
      </w:rPr>
      <w:t xml:space="preserve">Av. Parque Sul, 2138 – 1º Distrito Industrial / </w:t>
    </w:r>
    <w:proofErr w:type="spellStart"/>
    <w:proofErr w:type="gramStart"/>
    <w:r w:rsidRPr="00A84DF2">
      <w:rPr>
        <w:rFonts w:ascii="Tahoma" w:hAnsi="Tahoma" w:cs="Tahoma"/>
        <w:sz w:val="16"/>
        <w:szCs w:val="16"/>
      </w:rPr>
      <w:t>Cep</w:t>
    </w:r>
    <w:proofErr w:type="spellEnd"/>
    <w:proofErr w:type="gramEnd"/>
    <w:r w:rsidRPr="00A84DF2">
      <w:rPr>
        <w:rFonts w:ascii="Tahoma" w:hAnsi="Tahoma" w:cs="Tahoma"/>
        <w:sz w:val="16"/>
        <w:szCs w:val="16"/>
      </w:rPr>
      <w:t>: 61939-000</w:t>
    </w:r>
  </w:p>
  <w:p w:rsidR="00F142C2" w:rsidRPr="00A84DF2" w:rsidRDefault="00F142C2" w:rsidP="004974ED">
    <w:pPr>
      <w:pStyle w:val="Rodap"/>
      <w:jc w:val="center"/>
      <w:rPr>
        <w:rFonts w:ascii="Tahoma" w:hAnsi="Tahoma" w:cs="Tahoma"/>
        <w:sz w:val="16"/>
        <w:szCs w:val="16"/>
      </w:rPr>
    </w:pPr>
    <w:r w:rsidRPr="00A84DF2">
      <w:rPr>
        <w:rFonts w:ascii="Tahoma" w:hAnsi="Tahoma" w:cs="Tahoma"/>
        <w:sz w:val="16"/>
        <w:szCs w:val="16"/>
      </w:rPr>
      <w:t xml:space="preserve">CNPJ: 07.467.822/0001-26 – </w:t>
    </w:r>
    <w:r>
      <w:rPr>
        <w:rFonts w:ascii="Tahoma" w:hAnsi="Tahoma" w:cs="Tahoma"/>
        <w:sz w:val="16"/>
        <w:szCs w:val="16"/>
      </w:rPr>
      <w:t xml:space="preserve">CGF: 06.109.046 – </w:t>
    </w:r>
    <w:proofErr w:type="gramStart"/>
    <w:r>
      <w:rPr>
        <w:rFonts w:ascii="Tahoma" w:hAnsi="Tahoma" w:cs="Tahoma"/>
        <w:sz w:val="16"/>
        <w:szCs w:val="16"/>
      </w:rPr>
      <w:t>8</w:t>
    </w:r>
    <w:proofErr w:type="gramEnd"/>
    <w:r>
      <w:rPr>
        <w:rFonts w:ascii="Tahoma" w:hAnsi="Tahoma" w:cs="Tahoma"/>
        <w:sz w:val="16"/>
        <w:szCs w:val="16"/>
      </w:rPr>
      <w:t xml:space="preserve"> - PABX: 85 4011</w:t>
    </w:r>
    <w:r w:rsidRPr="00A84DF2">
      <w:rPr>
        <w:rFonts w:ascii="Tahoma" w:hAnsi="Tahoma" w:cs="Tahoma"/>
        <w:sz w:val="16"/>
        <w:szCs w:val="16"/>
      </w:rPr>
      <w:t>.1000 – FAX: 85 3215.3341</w:t>
    </w:r>
  </w:p>
  <w:p w:rsidR="00F142C2" w:rsidRPr="00A84DF2" w:rsidRDefault="00F142C2" w:rsidP="00DE5A3A">
    <w:pPr>
      <w:pStyle w:val="Rodap"/>
      <w:jc w:val="center"/>
      <w:rPr>
        <w:rFonts w:ascii="Tahoma" w:hAnsi="Tahoma" w:cs="Tahoma"/>
        <w:sz w:val="16"/>
        <w:szCs w:val="16"/>
      </w:rPr>
    </w:pPr>
    <w:r w:rsidRPr="00A84DF2">
      <w:rPr>
        <w:rFonts w:ascii="Tahoma" w:hAnsi="Tahoma" w:cs="Tahoma"/>
        <w:sz w:val="16"/>
        <w:szCs w:val="16"/>
      </w:rPr>
      <w:t>Maracanaú – Ceará - Brasil</w:t>
    </w:r>
  </w:p>
  <w:p w:rsidR="00F142C2" w:rsidRPr="003F7D0D" w:rsidRDefault="00274775" w:rsidP="00C279D7">
    <w:pPr>
      <w:pStyle w:val="Rodap"/>
      <w:framePr w:wrap="around" w:vAnchor="text" w:hAnchor="page" w:x="10821" w:y="40"/>
      <w:rPr>
        <w:rStyle w:val="Nmerodepgina"/>
      </w:rPr>
    </w:pPr>
    <w:r w:rsidRPr="003F7D0D">
      <w:rPr>
        <w:rStyle w:val="Nmerodepgina"/>
      </w:rPr>
      <w:fldChar w:fldCharType="begin"/>
    </w:r>
    <w:r w:rsidR="00F142C2" w:rsidRPr="003F7D0D">
      <w:rPr>
        <w:rStyle w:val="Nmerodepgina"/>
      </w:rPr>
      <w:instrText xml:space="preserve">PAGE  </w:instrText>
    </w:r>
    <w:r w:rsidRPr="003F7D0D">
      <w:rPr>
        <w:rStyle w:val="Nmerodepgina"/>
      </w:rPr>
      <w:fldChar w:fldCharType="separate"/>
    </w:r>
    <w:r w:rsidR="008A5FCD">
      <w:rPr>
        <w:rStyle w:val="Nmerodepgina"/>
        <w:noProof/>
      </w:rPr>
      <w:t>2</w:t>
    </w:r>
    <w:r w:rsidRPr="003F7D0D">
      <w:rPr>
        <w:rStyle w:val="Nmerodepgina"/>
      </w:rPr>
      <w:fldChar w:fldCharType="end"/>
    </w:r>
  </w:p>
  <w:p w:rsidR="00F142C2" w:rsidRPr="00A84DF2" w:rsidRDefault="00F142C2" w:rsidP="00DE5A3A">
    <w:pPr>
      <w:pStyle w:val="Rodap"/>
      <w:jc w:val="center"/>
      <w:rPr>
        <w:sz w:val="16"/>
        <w:szCs w:val="16"/>
      </w:rPr>
    </w:pPr>
  </w:p>
  <w:p w:rsidR="00F142C2" w:rsidRPr="00A84DF2" w:rsidRDefault="00F142C2">
    <w:pPr>
      <w:pStyle w:val="Rodap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58F" w:rsidRDefault="0043458F">
      <w:r>
        <w:separator/>
      </w:r>
    </w:p>
  </w:footnote>
  <w:footnote w:type="continuationSeparator" w:id="0">
    <w:p w:rsidR="0043458F" w:rsidRDefault="004345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2C2" w:rsidRDefault="00274775" w:rsidP="00C279D7">
    <w:pPr>
      <w:pStyle w:val="Cabealho"/>
      <w:jc w:val="center"/>
      <w:rPr>
        <w:noProof/>
        <w:sz w:val="20"/>
      </w:rPr>
    </w:pPr>
    <w:r>
      <w:rPr>
        <w:noProof/>
        <w:sz w:val="20"/>
      </w:rPr>
      <w:pict>
        <v:line id="_x0000_s2055" style="position:absolute;left:0;text-align:left;z-index:251656704" from="-18pt,52.1pt" to="522pt,52.65pt" strokecolor="green"/>
      </w:pict>
    </w:r>
    <w:r w:rsidR="00F142C2">
      <w:rPr>
        <w:noProof/>
        <w:sz w:val="20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-85090</wp:posOffset>
          </wp:positionH>
          <wp:positionV relativeFrom="paragraph">
            <wp:posOffset>-254635</wp:posOffset>
          </wp:positionV>
          <wp:extent cx="914400" cy="773430"/>
          <wp:effectExtent l="19050" t="0" r="0" b="0"/>
          <wp:wrapTight wrapText="bothSides">
            <wp:wrapPolygon edited="0">
              <wp:start x="-450" y="0"/>
              <wp:lineTo x="-450" y="21281"/>
              <wp:lineTo x="21600" y="21281"/>
              <wp:lineTo x="21600" y="0"/>
              <wp:lineTo x="-450" y="0"/>
            </wp:wrapPolygon>
          </wp:wrapTight>
          <wp:docPr id="14" name="Imagem 18" descr="logo_nufarm_pe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8" descr="logo_nufarm_pe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73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142C2">
      <w:rPr>
        <w:noProof/>
        <w:sz w:val="20"/>
      </w:rPr>
      <w:t xml:space="preserve"> MDT</w:t>
    </w:r>
  </w:p>
  <w:p w:rsidR="00F142C2" w:rsidRPr="00C200C8" w:rsidRDefault="00F142C2" w:rsidP="00C279D7">
    <w:pPr>
      <w:pStyle w:val="Cabealho"/>
      <w:jc w:val="center"/>
      <w:rPr>
        <w:rFonts w:ascii="Verdana" w:eastAsia="Arial Unicode MS" w:hAnsi="Verdana"/>
        <w:b/>
        <w:sz w:val="22"/>
        <w:szCs w:val="28"/>
        <w:lang w:val="en-US"/>
      </w:rPr>
    </w:pPr>
  </w:p>
  <w:p w:rsidR="00F142C2" w:rsidRDefault="00F142C2">
    <w:pPr>
      <w:pStyle w:val="Cabealho"/>
      <w:rPr>
        <w:rFonts w:eastAsia="Arial Unicode MS"/>
        <w:lang w:val="en-US"/>
      </w:rPr>
    </w:pPr>
  </w:p>
  <w:p w:rsidR="00F142C2" w:rsidRPr="00C15476" w:rsidRDefault="00F142C2">
    <w:pPr>
      <w:pStyle w:val="Cabealho"/>
      <w:rPr>
        <w:rFonts w:eastAsia="Arial Unicode MS"/>
        <w:lang w:val="en-US"/>
      </w:rPr>
    </w:pPr>
  </w:p>
  <w:p w:rsidR="00F142C2" w:rsidRPr="00C15476" w:rsidRDefault="00F142C2">
    <w:pPr>
      <w:pStyle w:val="Cabealho"/>
      <w:rPr>
        <w:rFonts w:eastAsia="Arial Unicode MS"/>
        <w:lang w:val="en-US"/>
      </w:rPr>
    </w:pPr>
  </w:p>
  <w:p w:rsidR="00F142C2" w:rsidRPr="00C15476" w:rsidRDefault="00F142C2">
    <w:pPr>
      <w:pStyle w:val="Cabealh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4474C"/>
    <w:multiLevelType w:val="hybridMultilevel"/>
    <w:tmpl w:val="EC88E6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BD2BE9"/>
    <w:multiLevelType w:val="multilevel"/>
    <w:tmpl w:val="8EB88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83B0722"/>
    <w:multiLevelType w:val="hybridMultilevel"/>
    <w:tmpl w:val="A79ED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A26DF5"/>
    <w:multiLevelType w:val="multilevel"/>
    <w:tmpl w:val="F0B4D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">
    <w:nsid w:val="30F61A4D"/>
    <w:multiLevelType w:val="hybridMultilevel"/>
    <w:tmpl w:val="44C6C7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46975"/>
    <w:multiLevelType w:val="hybridMultilevel"/>
    <w:tmpl w:val="E0801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E77F6"/>
    <w:multiLevelType w:val="hybridMultilevel"/>
    <w:tmpl w:val="DFD6A6BE"/>
    <w:lvl w:ilvl="0" w:tplc="0416000B">
      <w:start w:val="1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C79BE"/>
    <w:multiLevelType w:val="hybridMultilevel"/>
    <w:tmpl w:val="44B678B0"/>
    <w:lvl w:ilvl="0" w:tplc="8AF07CB2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2756F5"/>
    <w:multiLevelType w:val="multilevel"/>
    <w:tmpl w:val="8D8EFB7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80048D4"/>
    <w:multiLevelType w:val="hybridMultilevel"/>
    <w:tmpl w:val="1C90006C"/>
    <w:lvl w:ilvl="0" w:tplc="87403652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97255E"/>
    <w:multiLevelType w:val="multilevel"/>
    <w:tmpl w:val="8D8EFB7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FCB299E"/>
    <w:multiLevelType w:val="hybridMultilevel"/>
    <w:tmpl w:val="45B83742"/>
    <w:lvl w:ilvl="0" w:tplc="2EDCF6C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487C81"/>
    <w:multiLevelType w:val="hybridMultilevel"/>
    <w:tmpl w:val="B59A511A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2"/>
  </w:num>
  <w:num w:numId="5">
    <w:abstractNumId w:val="9"/>
  </w:num>
  <w:num w:numId="6">
    <w:abstractNumId w:val="10"/>
  </w:num>
  <w:num w:numId="7">
    <w:abstractNumId w:val="3"/>
  </w:num>
  <w:num w:numId="8">
    <w:abstractNumId w:val="11"/>
  </w:num>
  <w:num w:numId="9">
    <w:abstractNumId w:val="6"/>
  </w:num>
  <w:num w:numId="10">
    <w:abstractNumId w:val="4"/>
  </w:num>
  <w:num w:numId="11">
    <w:abstractNumId w:val="8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8"/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DE5A3A"/>
    <w:rsid w:val="00005846"/>
    <w:rsid w:val="0000688A"/>
    <w:rsid w:val="00010C70"/>
    <w:rsid w:val="00017C4E"/>
    <w:rsid w:val="0002114C"/>
    <w:rsid w:val="0002346A"/>
    <w:rsid w:val="000244D3"/>
    <w:rsid w:val="00034861"/>
    <w:rsid w:val="000354AE"/>
    <w:rsid w:val="00035B21"/>
    <w:rsid w:val="0003700F"/>
    <w:rsid w:val="000437B6"/>
    <w:rsid w:val="00044A1A"/>
    <w:rsid w:val="000470E8"/>
    <w:rsid w:val="00053FE9"/>
    <w:rsid w:val="00061761"/>
    <w:rsid w:val="00062155"/>
    <w:rsid w:val="00077861"/>
    <w:rsid w:val="00082282"/>
    <w:rsid w:val="000835A0"/>
    <w:rsid w:val="00090F91"/>
    <w:rsid w:val="00091E27"/>
    <w:rsid w:val="00095934"/>
    <w:rsid w:val="000A1A6E"/>
    <w:rsid w:val="000A44A8"/>
    <w:rsid w:val="000A4ABC"/>
    <w:rsid w:val="000A6033"/>
    <w:rsid w:val="000A6FDD"/>
    <w:rsid w:val="000A7930"/>
    <w:rsid w:val="000A7B09"/>
    <w:rsid w:val="000B073B"/>
    <w:rsid w:val="000B1C8E"/>
    <w:rsid w:val="000B67D4"/>
    <w:rsid w:val="000B7A73"/>
    <w:rsid w:val="000C3A40"/>
    <w:rsid w:val="000C3D98"/>
    <w:rsid w:val="000C4820"/>
    <w:rsid w:val="000C5350"/>
    <w:rsid w:val="000C756A"/>
    <w:rsid w:val="000D08CE"/>
    <w:rsid w:val="000D32BE"/>
    <w:rsid w:val="000D4816"/>
    <w:rsid w:val="000E074C"/>
    <w:rsid w:val="000F005E"/>
    <w:rsid w:val="000F26BD"/>
    <w:rsid w:val="000F3285"/>
    <w:rsid w:val="000F34A9"/>
    <w:rsid w:val="000F4447"/>
    <w:rsid w:val="000F47E9"/>
    <w:rsid w:val="00101F9F"/>
    <w:rsid w:val="00106DFD"/>
    <w:rsid w:val="001071A0"/>
    <w:rsid w:val="001078CD"/>
    <w:rsid w:val="00114895"/>
    <w:rsid w:val="00114FEF"/>
    <w:rsid w:val="00120D02"/>
    <w:rsid w:val="00122615"/>
    <w:rsid w:val="00123CC8"/>
    <w:rsid w:val="00125467"/>
    <w:rsid w:val="00126D19"/>
    <w:rsid w:val="00127134"/>
    <w:rsid w:val="001316A0"/>
    <w:rsid w:val="00134440"/>
    <w:rsid w:val="001349B0"/>
    <w:rsid w:val="001378A3"/>
    <w:rsid w:val="00145251"/>
    <w:rsid w:val="00146791"/>
    <w:rsid w:val="00157EC4"/>
    <w:rsid w:val="001609FD"/>
    <w:rsid w:val="00161DE3"/>
    <w:rsid w:val="00162BD4"/>
    <w:rsid w:val="00167F34"/>
    <w:rsid w:val="00167F64"/>
    <w:rsid w:val="00171099"/>
    <w:rsid w:val="0017117F"/>
    <w:rsid w:val="00172C22"/>
    <w:rsid w:val="00176801"/>
    <w:rsid w:val="00181AFC"/>
    <w:rsid w:val="001824E6"/>
    <w:rsid w:val="00190835"/>
    <w:rsid w:val="001912B0"/>
    <w:rsid w:val="00192BB9"/>
    <w:rsid w:val="001937E2"/>
    <w:rsid w:val="00194160"/>
    <w:rsid w:val="001977AA"/>
    <w:rsid w:val="001A04C0"/>
    <w:rsid w:val="001A1B48"/>
    <w:rsid w:val="001B09D7"/>
    <w:rsid w:val="001B291E"/>
    <w:rsid w:val="001B6920"/>
    <w:rsid w:val="001C164F"/>
    <w:rsid w:val="001C5F00"/>
    <w:rsid w:val="001C77EB"/>
    <w:rsid w:val="001D3007"/>
    <w:rsid w:val="001D47AB"/>
    <w:rsid w:val="001D7185"/>
    <w:rsid w:val="001E3BB8"/>
    <w:rsid w:val="001E48A1"/>
    <w:rsid w:val="001F0014"/>
    <w:rsid w:val="001F0E2C"/>
    <w:rsid w:val="001F142D"/>
    <w:rsid w:val="001F5335"/>
    <w:rsid w:val="001F780E"/>
    <w:rsid w:val="00201FB8"/>
    <w:rsid w:val="0020516E"/>
    <w:rsid w:val="00207139"/>
    <w:rsid w:val="00207482"/>
    <w:rsid w:val="002123AA"/>
    <w:rsid w:val="00215D66"/>
    <w:rsid w:val="0021744C"/>
    <w:rsid w:val="0022202B"/>
    <w:rsid w:val="00226C97"/>
    <w:rsid w:val="002307B6"/>
    <w:rsid w:val="002354EA"/>
    <w:rsid w:val="00240B5F"/>
    <w:rsid w:val="002412D9"/>
    <w:rsid w:val="0024184E"/>
    <w:rsid w:val="00243099"/>
    <w:rsid w:val="0024591D"/>
    <w:rsid w:val="00245BD5"/>
    <w:rsid w:val="00247CD9"/>
    <w:rsid w:val="00252DCD"/>
    <w:rsid w:val="00253B84"/>
    <w:rsid w:val="00254FC6"/>
    <w:rsid w:val="002552D9"/>
    <w:rsid w:val="00260B7F"/>
    <w:rsid w:val="0026179E"/>
    <w:rsid w:val="002625F9"/>
    <w:rsid w:val="00266457"/>
    <w:rsid w:val="002701AA"/>
    <w:rsid w:val="00274775"/>
    <w:rsid w:val="0027777C"/>
    <w:rsid w:val="002807EB"/>
    <w:rsid w:val="00280B42"/>
    <w:rsid w:val="00281B4F"/>
    <w:rsid w:val="00281EEE"/>
    <w:rsid w:val="00283957"/>
    <w:rsid w:val="00286D18"/>
    <w:rsid w:val="00290FCB"/>
    <w:rsid w:val="00296146"/>
    <w:rsid w:val="002A0C0F"/>
    <w:rsid w:val="002A41D5"/>
    <w:rsid w:val="002A6D22"/>
    <w:rsid w:val="002B1F3C"/>
    <w:rsid w:val="002B289F"/>
    <w:rsid w:val="002B3792"/>
    <w:rsid w:val="002B63E6"/>
    <w:rsid w:val="002B7A8C"/>
    <w:rsid w:val="002C1162"/>
    <w:rsid w:val="002C1DBB"/>
    <w:rsid w:val="002C2F07"/>
    <w:rsid w:val="002C4514"/>
    <w:rsid w:val="002C519D"/>
    <w:rsid w:val="002D0C0C"/>
    <w:rsid w:val="002D1281"/>
    <w:rsid w:val="002D2A94"/>
    <w:rsid w:val="002D2AF5"/>
    <w:rsid w:val="002E1F47"/>
    <w:rsid w:val="002E681F"/>
    <w:rsid w:val="002F1BCC"/>
    <w:rsid w:val="002F7C5E"/>
    <w:rsid w:val="00303CCD"/>
    <w:rsid w:val="00307A7C"/>
    <w:rsid w:val="00310E5B"/>
    <w:rsid w:val="00325247"/>
    <w:rsid w:val="003263DF"/>
    <w:rsid w:val="003317E4"/>
    <w:rsid w:val="00331AF3"/>
    <w:rsid w:val="003400AF"/>
    <w:rsid w:val="00341152"/>
    <w:rsid w:val="00342278"/>
    <w:rsid w:val="00343166"/>
    <w:rsid w:val="0035585A"/>
    <w:rsid w:val="003558D2"/>
    <w:rsid w:val="00357603"/>
    <w:rsid w:val="00357CC4"/>
    <w:rsid w:val="003615B9"/>
    <w:rsid w:val="0036172D"/>
    <w:rsid w:val="00366F37"/>
    <w:rsid w:val="00373A84"/>
    <w:rsid w:val="00374D30"/>
    <w:rsid w:val="00377888"/>
    <w:rsid w:val="0038498B"/>
    <w:rsid w:val="003860ED"/>
    <w:rsid w:val="00387187"/>
    <w:rsid w:val="00387513"/>
    <w:rsid w:val="00391055"/>
    <w:rsid w:val="003923AF"/>
    <w:rsid w:val="00397EF6"/>
    <w:rsid w:val="003A0517"/>
    <w:rsid w:val="003A3911"/>
    <w:rsid w:val="003B026A"/>
    <w:rsid w:val="003B0EB2"/>
    <w:rsid w:val="003B4BEB"/>
    <w:rsid w:val="003B63C1"/>
    <w:rsid w:val="003B6D11"/>
    <w:rsid w:val="003B7443"/>
    <w:rsid w:val="003B7B82"/>
    <w:rsid w:val="003C13B4"/>
    <w:rsid w:val="003C4E93"/>
    <w:rsid w:val="003C6351"/>
    <w:rsid w:val="003C7A01"/>
    <w:rsid w:val="003D0F90"/>
    <w:rsid w:val="003D152D"/>
    <w:rsid w:val="003D63D9"/>
    <w:rsid w:val="003E41EA"/>
    <w:rsid w:val="003E5ECC"/>
    <w:rsid w:val="003F4817"/>
    <w:rsid w:val="003F56BA"/>
    <w:rsid w:val="003F7D0D"/>
    <w:rsid w:val="004042A6"/>
    <w:rsid w:val="00406283"/>
    <w:rsid w:val="00406A75"/>
    <w:rsid w:val="00407E35"/>
    <w:rsid w:val="00411843"/>
    <w:rsid w:val="0042097A"/>
    <w:rsid w:val="0042403E"/>
    <w:rsid w:val="004272B2"/>
    <w:rsid w:val="00430123"/>
    <w:rsid w:val="004321C0"/>
    <w:rsid w:val="0043458F"/>
    <w:rsid w:val="00437E53"/>
    <w:rsid w:val="00443CA6"/>
    <w:rsid w:val="00452527"/>
    <w:rsid w:val="0047173A"/>
    <w:rsid w:val="00472569"/>
    <w:rsid w:val="004768D7"/>
    <w:rsid w:val="004769A1"/>
    <w:rsid w:val="00477E64"/>
    <w:rsid w:val="00480772"/>
    <w:rsid w:val="004818DA"/>
    <w:rsid w:val="00482700"/>
    <w:rsid w:val="00482F26"/>
    <w:rsid w:val="00482F64"/>
    <w:rsid w:val="00484645"/>
    <w:rsid w:val="00487666"/>
    <w:rsid w:val="004913CE"/>
    <w:rsid w:val="004951D4"/>
    <w:rsid w:val="004974ED"/>
    <w:rsid w:val="004A405F"/>
    <w:rsid w:val="004B4030"/>
    <w:rsid w:val="004C02FB"/>
    <w:rsid w:val="004C6754"/>
    <w:rsid w:val="004D2153"/>
    <w:rsid w:val="004D24C7"/>
    <w:rsid w:val="004D5402"/>
    <w:rsid w:val="004D596F"/>
    <w:rsid w:val="004D69D7"/>
    <w:rsid w:val="004D711B"/>
    <w:rsid w:val="004E135F"/>
    <w:rsid w:val="004E2B83"/>
    <w:rsid w:val="004F74B3"/>
    <w:rsid w:val="00501887"/>
    <w:rsid w:val="005054A8"/>
    <w:rsid w:val="005056E2"/>
    <w:rsid w:val="0051376F"/>
    <w:rsid w:val="0051517F"/>
    <w:rsid w:val="0052330C"/>
    <w:rsid w:val="00524453"/>
    <w:rsid w:val="00536377"/>
    <w:rsid w:val="005366F9"/>
    <w:rsid w:val="00537E24"/>
    <w:rsid w:val="00543E2E"/>
    <w:rsid w:val="00544128"/>
    <w:rsid w:val="0054523C"/>
    <w:rsid w:val="005517E1"/>
    <w:rsid w:val="00554806"/>
    <w:rsid w:val="00556077"/>
    <w:rsid w:val="005608F9"/>
    <w:rsid w:val="005669DE"/>
    <w:rsid w:val="00574F92"/>
    <w:rsid w:val="005756F5"/>
    <w:rsid w:val="0057614D"/>
    <w:rsid w:val="00577443"/>
    <w:rsid w:val="0058227B"/>
    <w:rsid w:val="00586580"/>
    <w:rsid w:val="005866E7"/>
    <w:rsid w:val="005879EE"/>
    <w:rsid w:val="00593EC0"/>
    <w:rsid w:val="0059491E"/>
    <w:rsid w:val="00596178"/>
    <w:rsid w:val="005A6C24"/>
    <w:rsid w:val="005B23CA"/>
    <w:rsid w:val="005B3C26"/>
    <w:rsid w:val="005C366E"/>
    <w:rsid w:val="005C6BFB"/>
    <w:rsid w:val="005D0062"/>
    <w:rsid w:val="005D0C9E"/>
    <w:rsid w:val="005D37CE"/>
    <w:rsid w:val="005D6010"/>
    <w:rsid w:val="005D61A1"/>
    <w:rsid w:val="005D69C0"/>
    <w:rsid w:val="005E28B8"/>
    <w:rsid w:val="005E62CB"/>
    <w:rsid w:val="005E65AE"/>
    <w:rsid w:val="005F4372"/>
    <w:rsid w:val="00602C06"/>
    <w:rsid w:val="006045EF"/>
    <w:rsid w:val="00604F98"/>
    <w:rsid w:val="00605F7F"/>
    <w:rsid w:val="00607C4F"/>
    <w:rsid w:val="00610836"/>
    <w:rsid w:val="00610DC1"/>
    <w:rsid w:val="0061268B"/>
    <w:rsid w:val="00612B49"/>
    <w:rsid w:val="0061507A"/>
    <w:rsid w:val="00620C40"/>
    <w:rsid w:val="00621E77"/>
    <w:rsid w:val="00622398"/>
    <w:rsid w:val="00622B26"/>
    <w:rsid w:val="00631C27"/>
    <w:rsid w:val="00645B0E"/>
    <w:rsid w:val="00647260"/>
    <w:rsid w:val="00654778"/>
    <w:rsid w:val="00654856"/>
    <w:rsid w:val="00657DC8"/>
    <w:rsid w:val="00661428"/>
    <w:rsid w:val="006624E8"/>
    <w:rsid w:val="00664029"/>
    <w:rsid w:val="00672746"/>
    <w:rsid w:val="006756CC"/>
    <w:rsid w:val="0067731A"/>
    <w:rsid w:val="00686320"/>
    <w:rsid w:val="006914BE"/>
    <w:rsid w:val="00692728"/>
    <w:rsid w:val="00695754"/>
    <w:rsid w:val="00696CC0"/>
    <w:rsid w:val="006A1FD0"/>
    <w:rsid w:val="006A60C7"/>
    <w:rsid w:val="006B0BF7"/>
    <w:rsid w:val="006B3087"/>
    <w:rsid w:val="006B314A"/>
    <w:rsid w:val="006B5578"/>
    <w:rsid w:val="006B631F"/>
    <w:rsid w:val="006B7C8D"/>
    <w:rsid w:val="006C12C9"/>
    <w:rsid w:val="006C4E6C"/>
    <w:rsid w:val="006D08C4"/>
    <w:rsid w:val="006D105A"/>
    <w:rsid w:val="006F2DB6"/>
    <w:rsid w:val="006F33B7"/>
    <w:rsid w:val="006F4633"/>
    <w:rsid w:val="006F7935"/>
    <w:rsid w:val="0070172D"/>
    <w:rsid w:val="00701BC5"/>
    <w:rsid w:val="007027E4"/>
    <w:rsid w:val="007059E6"/>
    <w:rsid w:val="00707AB5"/>
    <w:rsid w:val="007125CB"/>
    <w:rsid w:val="007129C2"/>
    <w:rsid w:val="00715F97"/>
    <w:rsid w:val="007249E4"/>
    <w:rsid w:val="00727A17"/>
    <w:rsid w:val="00731CEF"/>
    <w:rsid w:val="0073608C"/>
    <w:rsid w:val="00740232"/>
    <w:rsid w:val="007406AA"/>
    <w:rsid w:val="0074087C"/>
    <w:rsid w:val="007417AC"/>
    <w:rsid w:val="00741A53"/>
    <w:rsid w:val="00750703"/>
    <w:rsid w:val="00751FCF"/>
    <w:rsid w:val="007536DB"/>
    <w:rsid w:val="00754266"/>
    <w:rsid w:val="00760DB4"/>
    <w:rsid w:val="00761593"/>
    <w:rsid w:val="0076335E"/>
    <w:rsid w:val="007639E7"/>
    <w:rsid w:val="007707CE"/>
    <w:rsid w:val="0077632D"/>
    <w:rsid w:val="007A1831"/>
    <w:rsid w:val="007A3D8E"/>
    <w:rsid w:val="007B0F8B"/>
    <w:rsid w:val="007B4637"/>
    <w:rsid w:val="007B47E2"/>
    <w:rsid w:val="007C3588"/>
    <w:rsid w:val="007C7230"/>
    <w:rsid w:val="007D09F3"/>
    <w:rsid w:val="007D2E19"/>
    <w:rsid w:val="007E2F07"/>
    <w:rsid w:val="007E6C8B"/>
    <w:rsid w:val="007F0CEA"/>
    <w:rsid w:val="007F16FF"/>
    <w:rsid w:val="007F37F0"/>
    <w:rsid w:val="0080069B"/>
    <w:rsid w:val="0080194C"/>
    <w:rsid w:val="00801BFF"/>
    <w:rsid w:val="008078B4"/>
    <w:rsid w:val="00807F86"/>
    <w:rsid w:val="00810F5F"/>
    <w:rsid w:val="00810FB0"/>
    <w:rsid w:val="008125D8"/>
    <w:rsid w:val="008171B9"/>
    <w:rsid w:val="00820F8F"/>
    <w:rsid w:val="008236FB"/>
    <w:rsid w:val="00823968"/>
    <w:rsid w:val="00823B0B"/>
    <w:rsid w:val="00826255"/>
    <w:rsid w:val="00826DCC"/>
    <w:rsid w:val="008318F0"/>
    <w:rsid w:val="00831FD3"/>
    <w:rsid w:val="0083530E"/>
    <w:rsid w:val="00843055"/>
    <w:rsid w:val="0084469B"/>
    <w:rsid w:val="00845C89"/>
    <w:rsid w:val="008479D0"/>
    <w:rsid w:val="00854421"/>
    <w:rsid w:val="00855AB4"/>
    <w:rsid w:val="00856126"/>
    <w:rsid w:val="0085791A"/>
    <w:rsid w:val="00867923"/>
    <w:rsid w:val="008701F9"/>
    <w:rsid w:val="008703C5"/>
    <w:rsid w:val="008717B7"/>
    <w:rsid w:val="0087539B"/>
    <w:rsid w:val="00876564"/>
    <w:rsid w:val="00877704"/>
    <w:rsid w:val="00883CF9"/>
    <w:rsid w:val="00883D08"/>
    <w:rsid w:val="00883D5C"/>
    <w:rsid w:val="008848F4"/>
    <w:rsid w:val="0089636F"/>
    <w:rsid w:val="008A5FCD"/>
    <w:rsid w:val="008C0CFB"/>
    <w:rsid w:val="008C55E4"/>
    <w:rsid w:val="008D3F42"/>
    <w:rsid w:val="008D3F91"/>
    <w:rsid w:val="008D593B"/>
    <w:rsid w:val="008D7BEA"/>
    <w:rsid w:val="008E26F1"/>
    <w:rsid w:val="008E461F"/>
    <w:rsid w:val="008E4D9A"/>
    <w:rsid w:val="008E782A"/>
    <w:rsid w:val="008F12F7"/>
    <w:rsid w:val="008F2D3D"/>
    <w:rsid w:val="008F5027"/>
    <w:rsid w:val="0090346D"/>
    <w:rsid w:val="009035CE"/>
    <w:rsid w:val="00906A82"/>
    <w:rsid w:val="0091007C"/>
    <w:rsid w:val="00915FB1"/>
    <w:rsid w:val="00920669"/>
    <w:rsid w:val="00931F74"/>
    <w:rsid w:val="00937599"/>
    <w:rsid w:val="00943FEC"/>
    <w:rsid w:val="00953DAA"/>
    <w:rsid w:val="00957DE6"/>
    <w:rsid w:val="0096284B"/>
    <w:rsid w:val="00962FBA"/>
    <w:rsid w:val="00966797"/>
    <w:rsid w:val="00970AF2"/>
    <w:rsid w:val="00974ACE"/>
    <w:rsid w:val="0097563F"/>
    <w:rsid w:val="00976033"/>
    <w:rsid w:val="00984342"/>
    <w:rsid w:val="00984DB9"/>
    <w:rsid w:val="009856EF"/>
    <w:rsid w:val="009867DC"/>
    <w:rsid w:val="009902A9"/>
    <w:rsid w:val="009905B1"/>
    <w:rsid w:val="00990859"/>
    <w:rsid w:val="009925DF"/>
    <w:rsid w:val="00992AC3"/>
    <w:rsid w:val="0099309F"/>
    <w:rsid w:val="00993CF2"/>
    <w:rsid w:val="0099565B"/>
    <w:rsid w:val="009A2B69"/>
    <w:rsid w:val="009A3DCF"/>
    <w:rsid w:val="009A5CED"/>
    <w:rsid w:val="009B3BC5"/>
    <w:rsid w:val="009B6AD9"/>
    <w:rsid w:val="009C0E63"/>
    <w:rsid w:val="009C7BAA"/>
    <w:rsid w:val="009D1051"/>
    <w:rsid w:val="009D2D32"/>
    <w:rsid w:val="009D2E6A"/>
    <w:rsid w:val="009D37F5"/>
    <w:rsid w:val="009D4826"/>
    <w:rsid w:val="009D706B"/>
    <w:rsid w:val="009E0912"/>
    <w:rsid w:val="009E5E67"/>
    <w:rsid w:val="009F131F"/>
    <w:rsid w:val="009F7992"/>
    <w:rsid w:val="00A15092"/>
    <w:rsid w:val="00A16E73"/>
    <w:rsid w:val="00A1790D"/>
    <w:rsid w:val="00A20B3F"/>
    <w:rsid w:val="00A21EE0"/>
    <w:rsid w:val="00A22874"/>
    <w:rsid w:val="00A26938"/>
    <w:rsid w:val="00A269DE"/>
    <w:rsid w:val="00A27873"/>
    <w:rsid w:val="00A34BCF"/>
    <w:rsid w:val="00A41C8A"/>
    <w:rsid w:val="00A52150"/>
    <w:rsid w:val="00A53B80"/>
    <w:rsid w:val="00A554AE"/>
    <w:rsid w:val="00A70DC1"/>
    <w:rsid w:val="00A80CF3"/>
    <w:rsid w:val="00A8487C"/>
    <w:rsid w:val="00A84DF2"/>
    <w:rsid w:val="00A852AC"/>
    <w:rsid w:val="00A8744A"/>
    <w:rsid w:val="00A9041A"/>
    <w:rsid w:val="00A92A44"/>
    <w:rsid w:val="00A9451D"/>
    <w:rsid w:val="00A96812"/>
    <w:rsid w:val="00AA1822"/>
    <w:rsid w:val="00AA3D75"/>
    <w:rsid w:val="00AA5F73"/>
    <w:rsid w:val="00AA6BDD"/>
    <w:rsid w:val="00AA6CCD"/>
    <w:rsid w:val="00AA7DC5"/>
    <w:rsid w:val="00AB176B"/>
    <w:rsid w:val="00AB5B00"/>
    <w:rsid w:val="00AC2D9C"/>
    <w:rsid w:val="00AD096C"/>
    <w:rsid w:val="00AD0C4E"/>
    <w:rsid w:val="00AD1828"/>
    <w:rsid w:val="00AD574F"/>
    <w:rsid w:val="00AD63B6"/>
    <w:rsid w:val="00AE116D"/>
    <w:rsid w:val="00AE213C"/>
    <w:rsid w:val="00AE42ED"/>
    <w:rsid w:val="00AE64F0"/>
    <w:rsid w:val="00AF1A56"/>
    <w:rsid w:val="00AF242A"/>
    <w:rsid w:val="00B00258"/>
    <w:rsid w:val="00B06549"/>
    <w:rsid w:val="00B102AC"/>
    <w:rsid w:val="00B1037B"/>
    <w:rsid w:val="00B12280"/>
    <w:rsid w:val="00B15588"/>
    <w:rsid w:val="00B16DE1"/>
    <w:rsid w:val="00B238E6"/>
    <w:rsid w:val="00B27583"/>
    <w:rsid w:val="00B30922"/>
    <w:rsid w:val="00B334AD"/>
    <w:rsid w:val="00B33D01"/>
    <w:rsid w:val="00B37CDA"/>
    <w:rsid w:val="00B43513"/>
    <w:rsid w:val="00B43736"/>
    <w:rsid w:val="00B4522E"/>
    <w:rsid w:val="00B4597C"/>
    <w:rsid w:val="00B47B59"/>
    <w:rsid w:val="00B52B03"/>
    <w:rsid w:val="00B5318F"/>
    <w:rsid w:val="00B547C4"/>
    <w:rsid w:val="00B56A72"/>
    <w:rsid w:val="00B621EF"/>
    <w:rsid w:val="00B66FAB"/>
    <w:rsid w:val="00B6766A"/>
    <w:rsid w:val="00B72191"/>
    <w:rsid w:val="00B752B4"/>
    <w:rsid w:val="00B763C9"/>
    <w:rsid w:val="00B87F61"/>
    <w:rsid w:val="00B91F93"/>
    <w:rsid w:val="00B927D2"/>
    <w:rsid w:val="00B96D28"/>
    <w:rsid w:val="00B96D62"/>
    <w:rsid w:val="00B972CD"/>
    <w:rsid w:val="00B9737D"/>
    <w:rsid w:val="00B97454"/>
    <w:rsid w:val="00BA4674"/>
    <w:rsid w:val="00BA7F41"/>
    <w:rsid w:val="00BB4EEA"/>
    <w:rsid w:val="00BB5C7C"/>
    <w:rsid w:val="00BB68CC"/>
    <w:rsid w:val="00BB6BF2"/>
    <w:rsid w:val="00BC1EA3"/>
    <w:rsid w:val="00BD2960"/>
    <w:rsid w:val="00BD5B5E"/>
    <w:rsid w:val="00BD5F2D"/>
    <w:rsid w:val="00BD5FB5"/>
    <w:rsid w:val="00BD7138"/>
    <w:rsid w:val="00BE0030"/>
    <w:rsid w:val="00BE0B1D"/>
    <w:rsid w:val="00BE520A"/>
    <w:rsid w:val="00BE6BB0"/>
    <w:rsid w:val="00BF367A"/>
    <w:rsid w:val="00BF549E"/>
    <w:rsid w:val="00BF54E7"/>
    <w:rsid w:val="00BF575D"/>
    <w:rsid w:val="00BF766D"/>
    <w:rsid w:val="00C04586"/>
    <w:rsid w:val="00C05EEB"/>
    <w:rsid w:val="00C06BF0"/>
    <w:rsid w:val="00C10A67"/>
    <w:rsid w:val="00C11DF6"/>
    <w:rsid w:val="00C134BA"/>
    <w:rsid w:val="00C15476"/>
    <w:rsid w:val="00C16570"/>
    <w:rsid w:val="00C200C8"/>
    <w:rsid w:val="00C2020B"/>
    <w:rsid w:val="00C24C52"/>
    <w:rsid w:val="00C260B9"/>
    <w:rsid w:val="00C26F7A"/>
    <w:rsid w:val="00C279D7"/>
    <w:rsid w:val="00C27FF8"/>
    <w:rsid w:val="00C32650"/>
    <w:rsid w:val="00C34FA1"/>
    <w:rsid w:val="00C352A2"/>
    <w:rsid w:val="00C35640"/>
    <w:rsid w:val="00C3672D"/>
    <w:rsid w:val="00C4019F"/>
    <w:rsid w:val="00C433E0"/>
    <w:rsid w:val="00C50256"/>
    <w:rsid w:val="00C53A26"/>
    <w:rsid w:val="00C55DF1"/>
    <w:rsid w:val="00C605BB"/>
    <w:rsid w:val="00C62B48"/>
    <w:rsid w:val="00C63502"/>
    <w:rsid w:val="00C716EF"/>
    <w:rsid w:val="00C724B6"/>
    <w:rsid w:val="00C752D4"/>
    <w:rsid w:val="00C753FD"/>
    <w:rsid w:val="00C76548"/>
    <w:rsid w:val="00C77ABB"/>
    <w:rsid w:val="00C81169"/>
    <w:rsid w:val="00C819CC"/>
    <w:rsid w:val="00C84011"/>
    <w:rsid w:val="00C843AE"/>
    <w:rsid w:val="00C853BD"/>
    <w:rsid w:val="00C95230"/>
    <w:rsid w:val="00C9704A"/>
    <w:rsid w:val="00CA05A9"/>
    <w:rsid w:val="00CA1DD1"/>
    <w:rsid w:val="00CB68DF"/>
    <w:rsid w:val="00CC2C43"/>
    <w:rsid w:val="00CC3E0F"/>
    <w:rsid w:val="00CC41F1"/>
    <w:rsid w:val="00CC47C3"/>
    <w:rsid w:val="00CC5291"/>
    <w:rsid w:val="00CD4652"/>
    <w:rsid w:val="00CE1D9D"/>
    <w:rsid w:val="00CF2927"/>
    <w:rsid w:val="00CF7334"/>
    <w:rsid w:val="00D033BE"/>
    <w:rsid w:val="00D0441E"/>
    <w:rsid w:val="00D05172"/>
    <w:rsid w:val="00D14DCE"/>
    <w:rsid w:val="00D15036"/>
    <w:rsid w:val="00D17FF1"/>
    <w:rsid w:val="00D25F43"/>
    <w:rsid w:val="00D310E2"/>
    <w:rsid w:val="00D35E10"/>
    <w:rsid w:val="00D35EF7"/>
    <w:rsid w:val="00D41435"/>
    <w:rsid w:val="00D444DE"/>
    <w:rsid w:val="00D5398D"/>
    <w:rsid w:val="00D70FF6"/>
    <w:rsid w:val="00D719FC"/>
    <w:rsid w:val="00D76282"/>
    <w:rsid w:val="00D86C23"/>
    <w:rsid w:val="00D875CD"/>
    <w:rsid w:val="00D906C6"/>
    <w:rsid w:val="00D90F32"/>
    <w:rsid w:val="00D924FA"/>
    <w:rsid w:val="00D93136"/>
    <w:rsid w:val="00D953C8"/>
    <w:rsid w:val="00D959C8"/>
    <w:rsid w:val="00D966DD"/>
    <w:rsid w:val="00DA0469"/>
    <w:rsid w:val="00DA11B1"/>
    <w:rsid w:val="00DA49C6"/>
    <w:rsid w:val="00DA51B3"/>
    <w:rsid w:val="00DB100E"/>
    <w:rsid w:val="00DD2EE9"/>
    <w:rsid w:val="00DD606B"/>
    <w:rsid w:val="00DE4CA4"/>
    <w:rsid w:val="00DE4CF8"/>
    <w:rsid w:val="00DE5A3A"/>
    <w:rsid w:val="00DE7FA1"/>
    <w:rsid w:val="00DF1CF1"/>
    <w:rsid w:val="00DF3CF1"/>
    <w:rsid w:val="00DF530F"/>
    <w:rsid w:val="00DF560A"/>
    <w:rsid w:val="00E00A5E"/>
    <w:rsid w:val="00E0299A"/>
    <w:rsid w:val="00E02B0E"/>
    <w:rsid w:val="00E031A6"/>
    <w:rsid w:val="00E03F07"/>
    <w:rsid w:val="00E12370"/>
    <w:rsid w:val="00E13278"/>
    <w:rsid w:val="00E1532C"/>
    <w:rsid w:val="00E164F8"/>
    <w:rsid w:val="00E16F39"/>
    <w:rsid w:val="00E23BF3"/>
    <w:rsid w:val="00E243A5"/>
    <w:rsid w:val="00E25AF4"/>
    <w:rsid w:val="00E2606F"/>
    <w:rsid w:val="00E26892"/>
    <w:rsid w:val="00E30138"/>
    <w:rsid w:val="00E30F2E"/>
    <w:rsid w:val="00E44BB2"/>
    <w:rsid w:val="00E4591F"/>
    <w:rsid w:val="00E47008"/>
    <w:rsid w:val="00E53959"/>
    <w:rsid w:val="00E54F61"/>
    <w:rsid w:val="00E561D1"/>
    <w:rsid w:val="00E6274B"/>
    <w:rsid w:val="00E6359F"/>
    <w:rsid w:val="00E64C6B"/>
    <w:rsid w:val="00E669C8"/>
    <w:rsid w:val="00E66F6D"/>
    <w:rsid w:val="00E70215"/>
    <w:rsid w:val="00E7044E"/>
    <w:rsid w:val="00E70672"/>
    <w:rsid w:val="00E74EFB"/>
    <w:rsid w:val="00E81897"/>
    <w:rsid w:val="00E83902"/>
    <w:rsid w:val="00E83F4C"/>
    <w:rsid w:val="00E90D3B"/>
    <w:rsid w:val="00E9115D"/>
    <w:rsid w:val="00E931BC"/>
    <w:rsid w:val="00E93DF4"/>
    <w:rsid w:val="00E9528B"/>
    <w:rsid w:val="00E95DDE"/>
    <w:rsid w:val="00E97C96"/>
    <w:rsid w:val="00EA0C74"/>
    <w:rsid w:val="00EA38CF"/>
    <w:rsid w:val="00EA442A"/>
    <w:rsid w:val="00EA6722"/>
    <w:rsid w:val="00EB01F5"/>
    <w:rsid w:val="00EB116D"/>
    <w:rsid w:val="00EB274D"/>
    <w:rsid w:val="00EB3070"/>
    <w:rsid w:val="00EB406F"/>
    <w:rsid w:val="00EB53D4"/>
    <w:rsid w:val="00ED0075"/>
    <w:rsid w:val="00ED0B78"/>
    <w:rsid w:val="00ED12C1"/>
    <w:rsid w:val="00ED51E2"/>
    <w:rsid w:val="00EE09AC"/>
    <w:rsid w:val="00EE3000"/>
    <w:rsid w:val="00EE3CD5"/>
    <w:rsid w:val="00EE503B"/>
    <w:rsid w:val="00EF4916"/>
    <w:rsid w:val="00EF5DB2"/>
    <w:rsid w:val="00F019EA"/>
    <w:rsid w:val="00F142C2"/>
    <w:rsid w:val="00F14D8E"/>
    <w:rsid w:val="00F17A3B"/>
    <w:rsid w:val="00F20D69"/>
    <w:rsid w:val="00F35F85"/>
    <w:rsid w:val="00F36BDB"/>
    <w:rsid w:val="00F37806"/>
    <w:rsid w:val="00F504FB"/>
    <w:rsid w:val="00F529FA"/>
    <w:rsid w:val="00F552ED"/>
    <w:rsid w:val="00F56FFF"/>
    <w:rsid w:val="00F62B5C"/>
    <w:rsid w:val="00F651AE"/>
    <w:rsid w:val="00F67CC9"/>
    <w:rsid w:val="00F73952"/>
    <w:rsid w:val="00F751B9"/>
    <w:rsid w:val="00F755B3"/>
    <w:rsid w:val="00F80423"/>
    <w:rsid w:val="00F8131F"/>
    <w:rsid w:val="00F8356B"/>
    <w:rsid w:val="00F85EAE"/>
    <w:rsid w:val="00F878A1"/>
    <w:rsid w:val="00F9067F"/>
    <w:rsid w:val="00FA0B26"/>
    <w:rsid w:val="00FA65E2"/>
    <w:rsid w:val="00FA7EF5"/>
    <w:rsid w:val="00FB0BF2"/>
    <w:rsid w:val="00FB1D38"/>
    <w:rsid w:val="00FB200A"/>
    <w:rsid w:val="00FB3157"/>
    <w:rsid w:val="00FB61CA"/>
    <w:rsid w:val="00FB624D"/>
    <w:rsid w:val="00FC12B1"/>
    <w:rsid w:val="00FC45D3"/>
    <w:rsid w:val="00FC789F"/>
    <w:rsid w:val="00FD19E9"/>
    <w:rsid w:val="00FD2A59"/>
    <w:rsid w:val="00FD4BAF"/>
    <w:rsid w:val="00FD4CFC"/>
    <w:rsid w:val="00FD5E31"/>
    <w:rsid w:val="00FD6C72"/>
    <w:rsid w:val="00FD79E5"/>
    <w:rsid w:val="00FE28E5"/>
    <w:rsid w:val="00FE2A0E"/>
    <w:rsid w:val="00FE55DC"/>
    <w:rsid w:val="00FE7749"/>
    <w:rsid w:val="00FF00A3"/>
    <w:rsid w:val="00FF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406F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A051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E5A3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E5A3A"/>
    <w:pPr>
      <w:tabs>
        <w:tab w:val="center" w:pos="4252"/>
        <w:tab w:val="right" w:pos="8504"/>
      </w:tabs>
    </w:pPr>
  </w:style>
  <w:style w:type="character" w:styleId="Hyperlink">
    <w:name w:val="Hyperlink"/>
    <w:basedOn w:val="Fontepargpadro"/>
    <w:uiPriority w:val="99"/>
    <w:rsid w:val="00DE5A3A"/>
    <w:rPr>
      <w:color w:val="0000FF"/>
      <w:u w:val="single"/>
    </w:rPr>
  </w:style>
  <w:style w:type="paragraph" w:styleId="Textodebalo">
    <w:name w:val="Balloon Text"/>
    <w:basedOn w:val="Normal"/>
    <w:semiHidden/>
    <w:rsid w:val="00FF00A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D2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3F7D0D"/>
  </w:style>
  <w:style w:type="paragraph" w:styleId="Sumrio1">
    <w:name w:val="toc 1"/>
    <w:basedOn w:val="Normal"/>
    <w:next w:val="Normal"/>
    <w:autoRedefine/>
    <w:uiPriority w:val="39"/>
    <w:rsid w:val="00D719FC"/>
    <w:pPr>
      <w:tabs>
        <w:tab w:val="right" w:leader="dot" w:pos="10194"/>
      </w:tabs>
    </w:pPr>
    <w:rPr>
      <w:rFonts w:ascii="Verdana" w:hAnsi="Verdana"/>
      <w:b/>
      <w:noProof/>
    </w:rPr>
  </w:style>
  <w:style w:type="paragraph" w:styleId="Sumrio2">
    <w:name w:val="toc 2"/>
    <w:basedOn w:val="Normal"/>
    <w:next w:val="Normal"/>
    <w:autoRedefine/>
    <w:uiPriority w:val="39"/>
    <w:rsid w:val="00044A1A"/>
    <w:pPr>
      <w:tabs>
        <w:tab w:val="right" w:leader="dot" w:pos="10194"/>
      </w:tabs>
      <w:spacing w:line="480" w:lineRule="auto"/>
      <w:ind w:left="238"/>
    </w:pPr>
  </w:style>
  <w:style w:type="character" w:customStyle="1" w:styleId="Ttulo1Char">
    <w:name w:val="Título 1 Char"/>
    <w:basedOn w:val="Fontepargpadro"/>
    <w:link w:val="Ttulo1"/>
    <w:rsid w:val="003A051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SemEspaamento">
    <w:name w:val="No Spacing"/>
    <w:link w:val="SemEspaamentoChar"/>
    <w:uiPriority w:val="1"/>
    <w:qFormat/>
    <w:rsid w:val="0035585A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5585A"/>
    <w:rPr>
      <w:rFonts w:ascii="Calibri" w:hAnsi="Calibri"/>
      <w:sz w:val="22"/>
      <w:szCs w:val="22"/>
      <w:lang w:val="pt-BR" w:eastAsia="en-US" w:bidi="ar-SA"/>
    </w:rPr>
  </w:style>
  <w:style w:type="paragraph" w:styleId="NormalWeb">
    <w:name w:val="Normal (Web)"/>
    <w:basedOn w:val="Normal"/>
    <w:uiPriority w:val="99"/>
    <w:unhideWhenUsed/>
    <w:rsid w:val="00C279D7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C279D7"/>
    <w:rPr>
      <w:b/>
      <w:bCs/>
    </w:rPr>
  </w:style>
  <w:style w:type="paragraph" w:styleId="PargrafodaLista">
    <w:name w:val="List Paragraph"/>
    <w:basedOn w:val="Normal"/>
    <w:uiPriority w:val="34"/>
    <w:qFormat/>
    <w:rsid w:val="008125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C15476"/>
    <w:rPr>
      <w:sz w:val="24"/>
      <w:szCs w:val="24"/>
    </w:rPr>
  </w:style>
  <w:style w:type="character" w:styleId="nfase">
    <w:name w:val="Emphasis"/>
    <w:basedOn w:val="Fontepargpadro"/>
    <w:uiPriority w:val="20"/>
    <w:qFormat/>
    <w:rsid w:val="00E30F2E"/>
    <w:rPr>
      <w:b/>
      <w:bCs/>
      <w:i w:val="0"/>
      <w:iCs w:val="0"/>
    </w:rPr>
  </w:style>
  <w:style w:type="table" w:styleId="SombreamentoClaro-nfase3">
    <w:name w:val="Light Shading Accent 3"/>
    <w:basedOn w:val="Tabelanormal"/>
    <w:uiPriority w:val="60"/>
    <w:rsid w:val="00B621EF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dia1-nfase3">
    <w:name w:val="Medium List 1 Accent 3"/>
    <w:basedOn w:val="Tabelanormal"/>
    <w:uiPriority w:val="65"/>
    <w:rsid w:val="001609FD"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1609FD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Legenda">
    <w:name w:val="caption"/>
    <w:basedOn w:val="Normal"/>
    <w:next w:val="Normal"/>
    <w:unhideWhenUsed/>
    <w:qFormat/>
    <w:rsid w:val="007F0CEA"/>
    <w:rPr>
      <w:b/>
      <w:bCs/>
      <w:sz w:val="20"/>
      <w:szCs w:val="20"/>
    </w:rPr>
  </w:style>
  <w:style w:type="paragraph" w:customStyle="1" w:styleId="western">
    <w:name w:val="western"/>
    <w:basedOn w:val="Normal"/>
    <w:rsid w:val="00B5318F"/>
    <w:pPr>
      <w:spacing w:before="100" w:beforeAutospacing="1" w:after="100" w:afterAutospacing="1"/>
    </w:pPr>
  </w:style>
  <w:style w:type="character" w:styleId="Refdecomentrio">
    <w:name w:val="annotation reference"/>
    <w:basedOn w:val="Fontepargpadro"/>
    <w:rsid w:val="0055607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5607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556077"/>
  </w:style>
  <w:style w:type="paragraph" w:styleId="Assuntodocomentrio">
    <w:name w:val="annotation subject"/>
    <w:basedOn w:val="Textodecomentrio"/>
    <w:next w:val="Textodecomentrio"/>
    <w:link w:val="AssuntodocomentrioChar"/>
    <w:rsid w:val="0055607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560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BRSURANO\setores$\Medicina%20do%20Trabalho\exames%20ocupacionais\acompanhamento%20ocupacional\acompanhamentos%20ocupacionais%20201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BRSURANO\setores$\Medicina%20do%20Trabalho\exames%20ocupacionais\acompanhamento%20ocupacional\acompanhamentos%20ocupacionais%20201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BRSURANO\setores$\Medicina%20do%20Trabalho\exames%20ocupacionais\acompanhamento%20ocupacional\acompanhamentos%20ocupacionais%202010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BRSURANO\setores$\Medicina%20do%20Trabalho\exames%20ocupacionais\acompanhamento%20ocupacional\acompanhamentos%20ocupacionais%20201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Plano</a:t>
            </a:r>
            <a:r>
              <a:rPr lang="pt-BR" baseline="0"/>
              <a:t> de reabilitação por fator motivador</a:t>
            </a:r>
          </a:p>
        </c:rich>
      </c:tx>
    </c:title>
    <c:plotArea>
      <c:layout/>
      <c:barChart>
        <c:barDir val="col"/>
        <c:grouping val="stacked"/>
        <c:ser>
          <c:idx val="2"/>
          <c:order val="0"/>
          <c:tx>
            <c:strRef>
              <c:f>reabilitação!$E$30</c:f>
              <c:strCache>
                <c:ptCount val="1"/>
                <c:pt idx="0">
                  <c:v>Acidente de trabalho</c:v>
                </c:pt>
              </c:strCache>
            </c:strRef>
          </c:tx>
          <c:cat>
            <c:strRef>
              <c:f>reabilitação!$B$31:$B$43</c:f>
              <c:strCache>
                <c:ptCount val="13"/>
                <c:pt idx="0">
                  <c:v>IEN</c:v>
                </c:pt>
                <c:pt idx="1">
                  <c:v>HEN</c:v>
                </c:pt>
                <c:pt idx="2">
                  <c:v>IFO</c:v>
                </c:pt>
                <c:pt idx="3">
                  <c:v>ger ind</c:v>
                </c:pt>
                <c:pt idx="4">
                  <c:v>MEN</c:v>
                </c:pt>
                <c:pt idx="5">
                  <c:v>MFO</c:v>
                </c:pt>
                <c:pt idx="6">
                  <c:v>CD-CE</c:v>
                </c:pt>
                <c:pt idx="7">
                  <c:v>comunicação</c:v>
                </c:pt>
                <c:pt idx="8">
                  <c:v>cred-cobr</c:v>
                </c:pt>
                <c:pt idx="9">
                  <c:v>ESH</c:v>
                </c:pt>
                <c:pt idx="10">
                  <c:v>LD</c:v>
                </c:pt>
                <c:pt idx="11">
                  <c:v>Log</c:v>
                </c:pt>
                <c:pt idx="12">
                  <c:v>marketing</c:v>
                </c:pt>
              </c:strCache>
            </c:strRef>
          </c:cat>
          <c:val>
            <c:numRef>
              <c:f>reabilitação!$E$31:$E$43</c:f>
              <c:numCache>
                <c:formatCode>General</c:formatCode>
                <c:ptCount val="13"/>
                <c:pt idx="0">
                  <c:v>2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</c:ser>
        <c:ser>
          <c:idx val="3"/>
          <c:order val="1"/>
          <c:tx>
            <c:strRef>
              <c:f>reabilitação!$F$30</c:f>
              <c:strCache>
                <c:ptCount val="1"/>
                <c:pt idx="0">
                  <c:v>Doença com possível relação ao trabalho</c:v>
                </c:pt>
              </c:strCache>
            </c:strRef>
          </c:tx>
          <c:cat>
            <c:strRef>
              <c:f>reabilitação!$B$31:$B$43</c:f>
              <c:strCache>
                <c:ptCount val="13"/>
                <c:pt idx="0">
                  <c:v>IEN</c:v>
                </c:pt>
                <c:pt idx="1">
                  <c:v>HEN</c:v>
                </c:pt>
                <c:pt idx="2">
                  <c:v>IFO</c:v>
                </c:pt>
                <c:pt idx="3">
                  <c:v>ger ind</c:v>
                </c:pt>
                <c:pt idx="4">
                  <c:v>MEN</c:v>
                </c:pt>
                <c:pt idx="5">
                  <c:v>MFO</c:v>
                </c:pt>
                <c:pt idx="6">
                  <c:v>CD-CE</c:v>
                </c:pt>
                <c:pt idx="7">
                  <c:v>comunicação</c:v>
                </c:pt>
                <c:pt idx="8">
                  <c:v>cred-cobr</c:v>
                </c:pt>
                <c:pt idx="9">
                  <c:v>ESH</c:v>
                </c:pt>
                <c:pt idx="10">
                  <c:v>LD</c:v>
                </c:pt>
                <c:pt idx="11">
                  <c:v>Log</c:v>
                </c:pt>
                <c:pt idx="12">
                  <c:v>marketing</c:v>
                </c:pt>
              </c:strCache>
            </c:strRef>
          </c:cat>
          <c:val>
            <c:numRef>
              <c:f>reabilitação!$F$31:$F$43</c:f>
              <c:numCache>
                <c:formatCode>General</c:formatCode>
                <c:ptCount val="13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</c:ser>
        <c:ser>
          <c:idx val="4"/>
          <c:order val="2"/>
          <c:tx>
            <c:strRef>
              <c:f>reabilitação!$G$30</c:f>
              <c:strCache>
                <c:ptCount val="1"/>
                <c:pt idx="0">
                  <c:v>Doença não relacionado ao trabalho</c:v>
                </c:pt>
              </c:strCache>
            </c:strRef>
          </c:tx>
          <c:cat>
            <c:strRef>
              <c:f>reabilitação!$B$31:$B$43</c:f>
              <c:strCache>
                <c:ptCount val="13"/>
                <c:pt idx="0">
                  <c:v>IEN</c:v>
                </c:pt>
                <c:pt idx="1">
                  <c:v>HEN</c:v>
                </c:pt>
                <c:pt idx="2">
                  <c:v>IFO</c:v>
                </c:pt>
                <c:pt idx="3">
                  <c:v>ger ind</c:v>
                </c:pt>
                <c:pt idx="4">
                  <c:v>MEN</c:v>
                </c:pt>
                <c:pt idx="5">
                  <c:v>MFO</c:v>
                </c:pt>
                <c:pt idx="6">
                  <c:v>CD-CE</c:v>
                </c:pt>
                <c:pt idx="7">
                  <c:v>comunicação</c:v>
                </c:pt>
                <c:pt idx="8">
                  <c:v>cred-cobr</c:v>
                </c:pt>
                <c:pt idx="9">
                  <c:v>ESH</c:v>
                </c:pt>
                <c:pt idx="10">
                  <c:v>LD</c:v>
                </c:pt>
                <c:pt idx="11">
                  <c:v>Log</c:v>
                </c:pt>
                <c:pt idx="12">
                  <c:v>marketing</c:v>
                </c:pt>
              </c:strCache>
            </c:strRef>
          </c:cat>
          <c:val>
            <c:numRef>
              <c:f>reabilitação!$G$31:$G$43</c:f>
              <c:numCache>
                <c:formatCode>General</c:formatCode>
                <c:ptCount val="13"/>
                <c:pt idx="0">
                  <c:v>3</c:v>
                </c:pt>
                <c:pt idx="1">
                  <c:v>3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</c:numCache>
            </c:numRef>
          </c:val>
        </c:ser>
        <c:overlap val="100"/>
        <c:axId val="60785408"/>
        <c:axId val="60786944"/>
      </c:barChart>
      <c:catAx>
        <c:axId val="60785408"/>
        <c:scaling>
          <c:orientation val="minMax"/>
        </c:scaling>
        <c:axPos val="b"/>
        <c:tickLblPos val="nextTo"/>
        <c:crossAx val="60786944"/>
        <c:crosses val="autoZero"/>
        <c:auto val="1"/>
        <c:lblAlgn val="ctr"/>
        <c:lblOffset val="100"/>
      </c:catAx>
      <c:valAx>
        <c:axId val="60786944"/>
        <c:scaling>
          <c:orientation val="minMax"/>
        </c:scaling>
        <c:axPos val="l"/>
        <c:majorGridlines/>
        <c:numFmt formatCode="General" sourceLinked="1"/>
        <c:tickLblPos val="nextTo"/>
        <c:crossAx val="60785408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4.7410717495929532E-2"/>
          <c:y val="0.7496161417322823"/>
          <c:w val="0.50435757174188756"/>
          <c:h val="0.25038379636507763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pivotSource>
    <c:name>[acompanhamentos ocupacionais 2010.xlsx]reabilitação!Tabela dinâmica7</c:name>
    <c:fmtId val="3"/>
  </c:pivotSource>
  <c:chart>
    <c:title>
      <c:tx>
        <c:rich>
          <a:bodyPr/>
          <a:lstStyle/>
          <a:p>
            <a:pPr>
              <a:defRPr/>
            </a:pPr>
            <a:r>
              <a:rPr lang="pt-BR"/>
              <a:t>PLANO</a:t>
            </a:r>
            <a:r>
              <a:rPr lang="pt-BR" baseline="0"/>
              <a:t> DE REABILITAÇÃO POR SETOR</a:t>
            </a:r>
            <a:endParaRPr lang="pt-BR"/>
          </a:p>
        </c:rich>
      </c:tx>
    </c:title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reabilitação!$J$30:$J$31</c:f>
              <c:strCache>
                <c:ptCount val="1"/>
                <c:pt idx="0">
                  <c:v>DURAÇÃO DO PROGRAMA</c:v>
                </c:pt>
              </c:strCache>
            </c:strRef>
          </c:tx>
          <c:cat>
            <c:strRef>
              <c:f>reabilitação!$I$32:$I$45</c:f>
              <c:strCache>
                <c:ptCount val="13"/>
                <c:pt idx="0">
                  <c:v>Log</c:v>
                </c:pt>
                <c:pt idx="1">
                  <c:v>marketing</c:v>
                </c:pt>
                <c:pt idx="2">
                  <c:v>IEN</c:v>
                </c:pt>
                <c:pt idx="3">
                  <c:v>HEN</c:v>
                </c:pt>
                <c:pt idx="4">
                  <c:v>MFO</c:v>
                </c:pt>
                <c:pt idx="5">
                  <c:v>ger ind</c:v>
                </c:pt>
                <c:pt idx="6">
                  <c:v>IFO</c:v>
                </c:pt>
                <c:pt idx="7">
                  <c:v>cred-cobr</c:v>
                </c:pt>
                <c:pt idx="8">
                  <c:v>CD-CE</c:v>
                </c:pt>
                <c:pt idx="9">
                  <c:v>MEN</c:v>
                </c:pt>
                <c:pt idx="10">
                  <c:v>LD</c:v>
                </c:pt>
                <c:pt idx="11">
                  <c:v>comunicação</c:v>
                </c:pt>
                <c:pt idx="12">
                  <c:v>ESH</c:v>
                </c:pt>
              </c:strCache>
            </c:strRef>
          </c:cat>
          <c:val>
            <c:numRef>
              <c:f>reabilitação!$J$32:$J$45</c:f>
              <c:numCache>
                <c:formatCode>General</c:formatCode>
                <c:ptCount val="13"/>
                <c:pt idx="0">
                  <c:v>173</c:v>
                </c:pt>
                <c:pt idx="1">
                  <c:v>98</c:v>
                </c:pt>
                <c:pt idx="2">
                  <c:v>144</c:v>
                </c:pt>
                <c:pt idx="3">
                  <c:v>73</c:v>
                </c:pt>
                <c:pt idx="4">
                  <c:v>21</c:v>
                </c:pt>
                <c:pt idx="5">
                  <c:v>13</c:v>
                </c:pt>
                <c:pt idx="6">
                  <c:v>33</c:v>
                </c:pt>
                <c:pt idx="7">
                  <c:v>73</c:v>
                </c:pt>
                <c:pt idx="8">
                  <c:v>12</c:v>
                </c:pt>
                <c:pt idx="9">
                  <c:v>9</c:v>
                </c:pt>
                <c:pt idx="10">
                  <c:v>11</c:v>
                </c:pt>
                <c:pt idx="11">
                  <c:v>29</c:v>
                </c:pt>
                <c:pt idx="12">
                  <c:v>21</c:v>
                </c:pt>
              </c:numCache>
            </c:numRef>
          </c:val>
        </c:ser>
        <c:ser>
          <c:idx val="1"/>
          <c:order val="1"/>
          <c:tx>
            <c:strRef>
              <c:f>reabilitação!$K$30:$K$31</c:f>
              <c:strCache>
                <c:ptCount val="1"/>
                <c:pt idx="0">
                  <c:v>AFASTAMENTOS EVITADOS EM DIAS</c:v>
                </c:pt>
              </c:strCache>
            </c:strRef>
          </c:tx>
          <c:cat>
            <c:strRef>
              <c:f>reabilitação!$I$32:$I$45</c:f>
              <c:strCache>
                <c:ptCount val="13"/>
                <c:pt idx="0">
                  <c:v>Log</c:v>
                </c:pt>
                <c:pt idx="1">
                  <c:v>marketing</c:v>
                </c:pt>
                <c:pt idx="2">
                  <c:v>IEN</c:v>
                </c:pt>
                <c:pt idx="3">
                  <c:v>HEN</c:v>
                </c:pt>
                <c:pt idx="4">
                  <c:v>MFO</c:v>
                </c:pt>
                <c:pt idx="5">
                  <c:v>ger ind</c:v>
                </c:pt>
                <c:pt idx="6">
                  <c:v>IFO</c:v>
                </c:pt>
                <c:pt idx="7">
                  <c:v>cred-cobr</c:v>
                </c:pt>
                <c:pt idx="8">
                  <c:v>CD-CE</c:v>
                </c:pt>
                <c:pt idx="9">
                  <c:v>MEN</c:v>
                </c:pt>
                <c:pt idx="10">
                  <c:v>LD</c:v>
                </c:pt>
                <c:pt idx="11">
                  <c:v>comunicação</c:v>
                </c:pt>
                <c:pt idx="12">
                  <c:v>ESH</c:v>
                </c:pt>
              </c:strCache>
            </c:strRef>
          </c:cat>
          <c:val>
            <c:numRef>
              <c:f>reabilitação!$K$32:$K$45</c:f>
              <c:numCache>
                <c:formatCode>General</c:formatCode>
                <c:ptCount val="13"/>
                <c:pt idx="0">
                  <c:v>60</c:v>
                </c:pt>
                <c:pt idx="1">
                  <c:v>60</c:v>
                </c:pt>
                <c:pt idx="2">
                  <c:v>47</c:v>
                </c:pt>
                <c:pt idx="3">
                  <c:v>35</c:v>
                </c:pt>
                <c:pt idx="4">
                  <c:v>10</c:v>
                </c:pt>
                <c:pt idx="5">
                  <c:v>10</c:v>
                </c:pt>
                <c:pt idx="6">
                  <c:v>9</c:v>
                </c:pt>
                <c:pt idx="7">
                  <c:v>8</c:v>
                </c:pt>
                <c:pt idx="8">
                  <c:v>8</c:v>
                </c:pt>
                <c:pt idx="9">
                  <c:v>6</c:v>
                </c:pt>
                <c:pt idx="10">
                  <c:v>3</c:v>
                </c:pt>
                <c:pt idx="11">
                  <c:v>3</c:v>
                </c:pt>
                <c:pt idx="12">
                  <c:v>0</c:v>
                </c:pt>
              </c:numCache>
            </c:numRef>
          </c:val>
        </c:ser>
        <c:axId val="60799616"/>
        <c:axId val="73736576"/>
      </c:barChart>
      <c:catAx>
        <c:axId val="60799616"/>
        <c:scaling>
          <c:orientation val="minMax"/>
        </c:scaling>
        <c:axPos val="b"/>
        <c:majorTickMark val="none"/>
        <c:tickLblPos val="nextTo"/>
        <c:crossAx val="73736576"/>
        <c:crosses val="autoZero"/>
        <c:auto val="1"/>
        <c:lblAlgn val="ctr"/>
        <c:lblOffset val="100"/>
      </c:catAx>
      <c:valAx>
        <c:axId val="7373657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60799616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Plano de reabilitação</a:t>
            </a:r>
            <a:r>
              <a:rPr lang="pt-BR" baseline="0"/>
              <a:t> por a</a:t>
            </a:r>
            <a:r>
              <a:rPr lang="pt-BR"/>
              <a:t>cidente de trabalho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reabilitação!$C$53</c:f>
              <c:strCache>
                <c:ptCount val="1"/>
                <c:pt idx="0">
                  <c:v>DURAÇÃO DO PROGRAMA</c:v>
                </c:pt>
              </c:strCache>
            </c:strRef>
          </c:tx>
          <c:cat>
            <c:strRef>
              <c:f>reabilitação!$B$54:$B$56</c:f>
              <c:strCache>
                <c:ptCount val="3"/>
                <c:pt idx="0">
                  <c:v>IEN</c:v>
                </c:pt>
                <c:pt idx="1">
                  <c:v>IFO</c:v>
                </c:pt>
                <c:pt idx="2">
                  <c:v>MEN</c:v>
                </c:pt>
              </c:strCache>
            </c:strRef>
          </c:cat>
          <c:val>
            <c:numRef>
              <c:f>reabilitação!$C$54:$C$56</c:f>
              <c:numCache>
                <c:formatCode>0</c:formatCode>
                <c:ptCount val="3"/>
                <c:pt idx="0">
                  <c:v>15</c:v>
                </c:pt>
                <c:pt idx="1">
                  <c:v>14</c:v>
                </c:pt>
                <c:pt idx="2">
                  <c:v>5</c:v>
                </c:pt>
              </c:numCache>
            </c:numRef>
          </c:val>
        </c:ser>
        <c:ser>
          <c:idx val="1"/>
          <c:order val="1"/>
          <c:tx>
            <c:strRef>
              <c:f>reabilitação!$D$53</c:f>
              <c:strCache>
                <c:ptCount val="1"/>
                <c:pt idx="0">
                  <c:v>AFASTAMENTOS EVITADOS EM DIAS</c:v>
                </c:pt>
              </c:strCache>
            </c:strRef>
          </c:tx>
          <c:cat>
            <c:strRef>
              <c:f>reabilitação!$B$54:$B$56</c:f>
              <c:strCache>
                <c:ptCount val="3"/>
                <c:pt idx="0">
                  <c:v>IEN</c:v>
                </c:pt>
                <c:pt idx="1">
                  <c:v>IFO</c:v>
                </c:pt>
                <c:pt idx="2">
                  <c:v>MEN</c:v>
                </c:pt>
              </c:strCache>
            </c:strRef>
          </c:cat>
          <c:val>
            <c:numRef>
              <c:f>reabilitação!$D$54:$D$56</c:f>
              <c:numCache>
                <c:formatCode>0</c:formatCode>
                <c:ptCount val="3"/>
                <c:pt idx="0">
                  <c:v>6</c:v>
                </c:pt>
                <c:pt idx="1">
                  <c:v>6</c:v>
                </c:pt>
                <c:pt idx="2">
                  <c:v>3</c:v>
                </c:pt>
              </c:numCache>
            </c:numRef>
          </c:val>
        </c:ser>
        <c:axId val="73757440"/>
        <c:axId val="73758976"/>
      </c:barChart>
      <c:catAx>
        <c:axId val="73757440"/>
        <c:scaling>
          <c:orientation val="minMax"/>
        </c:scaling>
        <c:axPos val="b"/>
        <c:tickLblPos val="nextTo"/>
        <c:crossAx val="73758976"/>
        <c:crosses val="autoZero"/>
        <c:auto val="1"/>
        <c:lblAlgn val="ctr"/>
        <c:lblOffset val="100"/>
      </c:catAx>
      <c:valAx>
        <c:axId val="73758976"/>
        <c:scaling>
          <c:orientation val="minMax"/>
        </c:scaling>
        <c:axPos val="l"/>
        <c:majorGridlines/>
        <c:numFmt formatCode="0" sourceLinked="1"/>
        <c:tickLblPos val="nextTo"/>
        <c:crossAx val="73757440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Plano</a:t>
            </a:r>
            <a:r>
              <a:rPr lang="pt-BR" baseline="0"/>
              <a:t> de reabilitação por doença com possível relação ao trabalho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reabilitação!$C$60</c:f>
              <c:strCache>
                <c:ptCount val="1"/>
                <c:pt idx="0">
                  <c:v>DURAÇÃO DO PROGRAMA</c:v>
                </c:pt>
              </c:strCache>
            </c:strRef>
          </c:tx>
          <c:cat>
            <c:strRef>
              <c:f>reabilitação!$B$61:$B$64</c:f>
              <c:strCache>
                <c:ptCount val="4"/>
                <c:pt idx="0">
                  <c:v>CD-CE</c:v>
                </c:pt>
                <c:pt idx="1">
                  <c:v>cred-cobr</c:v>
                </c:pt>
                <c:pt idx="2">
                  <c:v>IEN</c:v>
                </c:pt>
                <c:pt idx="3">
                  <c:v>comunicação</c:v>
                </c:pt>
              </c:strCache>
            </c:strRef>
          </c:cat>
          <c:val>
            <c:numRef>
              <c:f>reabilitação!$C$61:$C$64</c:f>
              <c:numCache>
                <c:formatCode>0</c:formatCode>
                <c:ptCount val="4"/>
                <c:pt idx="0">
                  <c:v>12</c:v>
                </c:pt>
                <c:pt idx="1">
                  <c:v>73</c:v>
                </c:pt>
                <c:pt idx="2">
                  <c:v>20</c:v>
                </c:pt>
                <c:pt idx="3">
                  <c:v>29</c:v>
                </c:pt>
              </c:numCache>
            </c:numRef>
          </c:val>
        </c:ser>
        <c:ser>
          <c:idx val="1"/>
          <c:order val="1"/>
          <c:tx>
            <c:strRef>
              <c:f>reabilitação!$D$60</c:f>
              <c:strCache>
                <c:ptCount val="1"/>
                <c:pt idx="0">
                  <c:v>AFASTAMENTOS EVITADOS EM DIAS</c:v>
                </c:pt>
              </c:strCache>
            </c:strRef>
          </c:tx>
          <c:cat>
            <c:strRef>
              <c:f>reabilitação!$B$61:$B$64</c:f>
              <c:strCache>
                <c:ptCount val="4"/>
                <c:pt idx="0">
                  <c:v>CD-CE</c:v>
                </c:pt>
                <c:pt idx="1">
                  <c:v>cred-cobr</c:v>
                </c:pt>
                <c:pt idx="2">
                  <c:v>IEN</c:v>
                </c:pt>
                <c:pt idx="3">
                  <c:v>comunicação</c:v>
                </c:pt>
              </c:strCache>
            </c:strRef>
          </c:cat>
          <c:val>
            <c:numRef>
              <c:f>reabilitação!$D$61:$D$64</c:f>
              <c:numCache>
                <c:formatCode>General</c:formatCode>
                <c:ptCount val="4"/>
                <c:pt idx="0">
                  <c:v>8</c:v>
                </c:pt>
                <c:pt idx="1">
                  <c:v>8</c:v>
                </c:pt>
                <c:pt idx="2">
                  <c:v>10</c:v>
                </c:pt>
                <c:pt idx="3">
                  <c:v>3</c:v>
                </c:pt>
              </c:numCache>
            </c:numRef>
          </c:val>
        </c:ser>
        <c:axId val="73788032"/>
        <c:axId val="73802112"/>
      </c:barChart>
      <c:catAx>
        <c:axId val="73788032"/>
        <c:scaling>
          <c:orientation val="minMax"/>
        </c:scaling>
        <c:axPos val="b"/>
        <c:tickLblPos val="nextTo"/>
        <c:crossAx val="73802112"/>
        <c:crosses val="autoZero"/>
        <c:auto val="1"/>
        <c:lblAlgn val="ctr"/>
        <c:lblOffset val="100"/>
      </c:catAx>
      <c:valAx>
        <c:axId val="73802112"/>
        <c:scaling>
          <c:orientation val="minMax"/>
        </c:scaling>
        <c:axPos val="l"/>
        <c:majorGridlines/>
        <c:numFmt formatCode="0" sourceLinked="1"/>
        <c:tickLblPos val="nextTo"/>
        <c:crossAx val="73788032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C3AE4-7852-4996-8384-E05F0E45D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II Auditoria Interna</vt:lpstr>
    </vt:vector>
  </TitlesOfParts>
  <Company>Agripec/Nufarm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 Auditoria Interna</dc:title>
  <dc:subject/>
  <dc:creator>clneto</dc:creator>
  <cp:keywords/>
  <cp:lastModifiedBy>home</cp:lastModifiedBy>
  <cp:revision>4</cp:revision>
  <cp:lastPrinted>2010-12-20T12:41:00Z</cp:lastPrinted>
  <dcterms:created xsi:type="dcterms:W3CDTF">2011-02-02T15:32:00Z</dcterms:created>
  <dcterms:modified xsi:type="dcterms:W3CDTF">2014-11-04T23:05:00Z</dcterms:modified>
</cp:coreProperties>
</file>