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F4A" w:rsidRPr="007E6709" w:rsidRDefault="00B50F4A" w:rsidP="007E6709">
      <w:pPr>
        <w:spacing w:after="0" w:line="360" w:lineRule="auto"/>
      </w:pPr>
    </w:p>
    <w:p w:rsidR="007E6709" w:rsidRPr="007E6709" w:rsidRDefault="007E6709" w:rsidP="007E6709">
      <w:pPr>
        <w:spacing w:after="0" w:line="360" w:lineRule="auto"/>
        <w:rPr>
          <w:b/>
          <w:sz w:val="24"/>
          <w:szCs w:val="24"/>
        </w:rPr>
      </w:pPr>
      <w:r w:rsidRPr="007E6709">
        <w:rPr>
          <w:b/>
          <w:sz w:val="24"/>
          <w:szCs w:val="24"/>
        </w:rPr>
        <w:t>Ministério do Trabalho e Emprego</w:t>
      </w:r>
    </w:p>
    <w:p w:rsidR="007E6709" w:rsidRPr="007E6709" w:rsidRDefault="007E6709" w:rsidP="007E6709">
      <w:pPr>
        <w:spacing w:after="0" w:line="360" w:lineRule="auto"/>
        <w:rPr>
          <w:rFonts w:eastAsia="Times New Roman" w:cs="Helvetica"/>
          <w:color w:val="404040"/>
          <w:lang w:eastAsia="pt-BR"/>
        </w:rPr>
      </w:pPr>
      <w:r w:rsidRPr="007E6709">
        <w:rPr>
          <w:rFonts w:eastAsia="Times New Roman" w:cs="Helvetica"/>
          <w:b/>
          <w:bCs/>
          <w:color w:val="404040"/>
          <w:lang w:eastAsia="pt-BR"/>
        </w:rPr>
        <w:t>SECRETARIA DE INSPEÇÃO DO TRABALHO</w:t>
      </w:r>
    </w:p>
    <w:p w:rsidR="007E6709" w:rsidRPr="007E6709" w:rsidRDefault="007E6709" w:rsidP="007E6709">
      <w:pPr>
        <w:spacing w:after="0" w:line="360" w:lineRule="auto"/>
        <w:jc w:val="center"/>
        <w:rPr>
          <w:rFonts w:eastAsia="Times New Roman" w:cs="Helvetica"/>
          <w:color w:val="404040"/>
          <w:lang w:eastAsia="pt-BR"/>
        </w:rPr>
      </w:pPr>
      <w:r w:rsidRPr="007E6709">
        <w:rPr>
          <w:rFonts w:eastAsia="Times New Roman" w:cs="Helvetica"/>
          <w:b/>
          <w:bCs/>
          <w:color w:val="404040"/>
          <w:lang w:eastAsia="pt-BR"/>
        </w:rPr>
        <w:t xml:space="preserve">PORTARIA Nº 427, DE 27 DE MAIO DE </w:t>
      </w:r>
      <w:proofErr w:type="gramStart"/>
      <w:r w:rsidRPr="007E6709">
        <w:rPr>
          <w:rFonts w:eastAsia="Times New Roman" w:cs="Helvetica"/>
          <w:b/>
          <w:bCs/>
          <w:color w:val="404040"/>
          <w:lang w:eastAsia="pt-BR"/>
        </w:rPr>
        <w:t>2014</w:t>
      </w:r>
      <w:proofErr w:type="gramEnd"/>
    </w:p>
    <w:p w:rsidR="007E6709" w:rsidRDefault="007E6709" w:rsidP="007E6709">
      <w:pPr>
        <w:spacing w:after="0" w:line="360" w:lineRule="auto"/>
        <w:ind w:left="3399" w:firstLine="141"/>
        <w:rPr>
          <w:rFonts w:eastAsia="Times New Roman" w:cs="Helvetica"/>
          <w:color w:val="404040"/>
          <w:lang w:eastAsia="pt-BR"/>
        </w:rPr>
      </w:pPr>
    </w:p>
    <w:p w:rsidR="007E6709" w:rsidRPr="007E6709" w:rsidRDefault="007E6709" w:rsidP="007E6709">
      <w:pPr>
        <w:spacing w:after="0" w:line="360" w:lineRule="auto"/>
        <w:ind w:left="3399" w:firstLine="141"/>
        <w:rPr>
          <w:rFonts w:eastAsia="Times New Roman" w:cs="Helvetica"/>
          <w:i/>
          <w:color w:val="404040"/>
          <w:lang w:eastAsia="pt-BR"/>
        </w:rPr>
      </w:pPr>
      <w:bookmarkStart w:id="0" w:name="_GoBack"/>
      <w:bookmarkEnd w:id="0"/>
      <w:r w:rsidRPr="007E6709">
        <w:rPr>
          <w:rFonts w:eastAsia="Times New Roman" w:cs="Helvetica"/>
          <w:i/>
          <w:color w:val="404040"/>
          <w:lang w:eastAsia="pt-BR"/>
        </w:rPr>
        <w:t>Altera a Portaria SIT n.º 121/2009.</w:t>
      </w:r>
    </w:p>
    <w:p w:rsidR="007E6709" w:rsidRDefault="007E6709" w:rsidP="007E6709">
      <w:pPr>
        <w:spacing w:after="0" w:line="360" w:lineRule="auto"/>
        <w:rPr>
          <w:rFonts w:eastAsia="Times New Roman" w:cs="Helvetica"/>
          <w:color w:val="404040"/>
          <w:lang w:eastAsia="pt-BR"/>
        </w:rPr>
      </w:pPr>
    </w:p>
    <w:p w:rsidR="007E6709" w:rsidRPr="007E6709" w:rsidRDefault="007E6709" w:rsidP="004973A6">
      <w:pPr>
        <w:spacing w:after="0" w:line="360" w:lineRule="auto"/>
        <w:jc w:val="both"/>
        <w:rPr>
          <w:rFonts w:eastAsia="Times New Roman" w:cs="Helvetica"/>
          <w:color w:val="404040"/>
          <w:lang w:eastAsia="pt-BR"/>
        </w:rPr>
      </w:pPr>
      <w:r w:rsidRPr="007E6709">
        <w:rPr>
          <w:rFonts w:eastAsia="Times New Roman" w:cs="Helvetica"/>
          <w:color w:val="404040"/>
          <w:lang w:eastAsia="pt-BR"/>
        </w:rPr>
        <w:t xml:space="preserve">O SECRETÁRIO DE INSPEÇÃO DO TRABALHO, no uso das atribuições conferidas pelo art. 14, inciso II, do Decreto n.º 5.063, de </w:t>
      </w:r>
      <w:proofErr w:type="gramStart"/>
      <w:r w:rsidRPr="007E6709">
        <w:rPr>
          <w:rFonts w:eastAsia="Times New Roman" w:cs="Helvetica"/>
          <w:color w:val="404040"/>
          <w:lang w:eastAsia="pt-BR"/>
        </w:rPr>
        <w:t>3</w:t>
      </w:r>
      <w:proofErr w:type="gramEnd"/>
      <w:r w:rsidRPr="007E6709">
        <w:rPr>
          <w:rFonts w:eastAsia="Times New Roman" w:cs="Helvetica"/>
          <w:color w:val="404040"/>
          <w:lang w:eastAsia="pt-BR"/>
        </w:rPr>
        <w:t xml:space="preserve"> de maio de 2004 e em face do disposto no item 6.9.2 e na alínea "c" do item 6.11.1 da Norma Regulamentadora n.º 6, aprovada pela Portaria </w:t>
      </w:r>
      <w:proofErr w:type="spellStart"/>
      <w:r w:rsidRPr="007E6709">
        <w:rPr>
          <w:rFonts w:eastAsia="Times New Roman" w:cs="Helvetica"/>
          <w:color w:val="404040"/>
          <w:lang w:eastAsia="pt-BR"/>
        </w:rPr>
        <w:t>MTb</w:t>
      </w:r>
      <w:proofErr w:type="spellEnd"/>
      <w:r w:rsidRPr="007E6709">
        <w:rPr>
          <w:rFonts w:eastAsia="Times New Roman" w:cs="Helvetica"/>
          <w:color w:val="404040"/>
          <w:lang w:eastAsia="pt-BR"/>
        </w:rPr>
        <w:t xml:space="preserve"> n.º 3.214, de 8 de junho de 1978, resolve:</w:t>
      </w:r>
    </w:p>
    <w:p w:rsidR="007E6709" w:rsidRDefault="007E6709" w:rsidP="004973A6">
      <w:pPr>
        <w:spacing w:after="0" w:line="360" w:lineRule="auto"/>
        <w:jc w:val="both"/>
        <w:rPr>
          <w:rFonts w:eastAsia="Times New Roman" w:cs="Helvetica"/>
          <w:color w:val="404040"/>
          <w:lang w:eastAsia="pt-BR"/>
        </w:rPr>
      </w:pPr>
    </w:p>
    <w:p w:rsidR="007E6709" w:rsidRDefault="007E6709" w:rsidP="004973A6">
      <w:pPr>
        <w:spacing w:after="0" w:line="360" w:lineRule="auto"/>
        <w:jc w:val="both"/>
        <w:rPr>
          <w:rFonts w:eastAsia="Times New Roman" w:cs="Helvetica"/>
          <w:color w:val="404040"/>
          <w:lang w:eastAsia="pt-BR"/>
        </w:rPr>
      </w:pPr>
      <w:r w:rsidRPr="007E6709">
        <w:rPr>
          <w:rFonts w:eastAsia="Times New Roman" w:cs="Helvetica"/>
          <w:color w:val="404040"/>
          <w:lang w:eastAsia="pt-BR"/>
        </w:rPr>
        <w:t>Art. 1º Incluir, no Anexo II, alínea F, da Portaria SIT n.º 121, de 30 de setembro de 2009, a especificação de luvas para proteção das mãos contra agentes mecânicos para moto-serristas, e respectiva norma técnica aplicável, com a seguinte redação:</w:t>
      </w:r>
    </w:p>
    <w:p w:rsidR="004973A6" w:rsidRPr="007E6709" w:rsidRDefault="004973A6" w:rsidP="004973A6">
      <w:pPr>
        <w:spacing w:after="0" w:line="360" w:lineRule="auto"/>
        <w:jc w:val="both"/>
        <w:rPr>
          <w:rFonts w:eastAsia="Times New Roman" w:cs="Helvetica"/>
          <w:color w:val="404040"/>
          <w:lang w:eastAsia="pt-BR"/>
        </w:rPr>
      </w:pPr>
    </w:p>
    <w:p w:rsidR="007E6709" w:rsidRPr="007E6709" w:rsidRDefault="007E6709" w:rsidP="004973A6">
      <w:pPr>
        <w:spacing w:after="0" w:line="360" w:lineRule="auto"/>
        <w:jc w:val="both"/>
        <w:rPr>
          <w:rFonts w:eastAsia="Times New Roman" w:cs="Helvetica"/>
          <w:color w:val="404040"/>
          <w:lang w:eastAsia="pt-BR"/>
        </w:rPr>
      </w:pPr>
      <w:r w:rsidRPr="007E6709">
        <w:rPr>
          <w:rFonts w:eastAsia="Times New Roman" w:cs="Helvetica"/>
          <w:color w:val="404040"/>
          <w:lang w:eastAsia="pt-BR"/>
        </w:rPr>
        <w:t>ANEXO II</w:t>
      </w:r>
    </w:p>
    <w:p w:rsidR="007E6709" w:rsidRPr="007E6709" w:rsidRDefault="007E6709" w:rsidP="004973A6">
      <w:pPr>
        <w:spacing w:after="0" w:line="360" w:lineRule="auto"/>
        <w:jc w:val="both"/>
        <w:rPr>
          <w:rFonts w:eastAsia="Times New Roman" w:cs="Helvetica"/>
          <w:color w:val="404040"/>
          <w:lang w:eastAsia="pt-BR"/>
        </w:rPr>
      </w:pPr>
      <w:r w:rsidRPr="007E6709">
        <w:rPr>
          <w:rFonts w:eastAsia="Times New Roman" w:cs="Helvetica"/>
          <w:color w:val="404040"/>
          <w:lang w:eastAsia="pt-BR"/>
        </w:rPr>
        <w:t>NORMAS TÉCNICAS APLICÁVEIS AOS EPI</w:t>
      </w:r>
    </w:p>
    <w:p w:rsidR="007E6709" w:rsidRPr="007E6709" w:rsidRDefault="007E6709" w:rsidP="004973A6">
      <w:pPr>
        <w:spacing w:after="0" w:line="360" w:lineRule="auto"/>
        <w:rPr>
          <w:rFonts w:ascii="Helvetica" w:eastAsia="Times New Roman" w:hAnsi="Helvetica" w:cs="Helvetica"/>
          <w:color w:val="404040"/>
          <w:sz w:val="18"/>
          <w:szCs w:val="18"/>
          <w:lang w:eastAsia="pt-BR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  <w:gridCol w:w="1925"/>
        <w:gridCol w:w="1720"/>
        <w:gridCol w:w="1834"/>
      </w:tblGrid>
      <w:tr w:rsidR="007E6709" w:rsidRPr="007E6709" w:rsidTr="004973A6">
        <w:trPr>
          <w:trHeight w:val="2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E6709" w:rsidRPr="007E6709" w:rsidRDefault="007E6709" w:rsidP="004973A6">
            <w:pPr>
              <w:spacing w:after="0" w:line="360" w:lineRule="auto"/>
              <w:rPr>
                <w:rFonts w:ascii="Helvetica" w:eastAsia="Times New Roman" w:hAnsi="Helvetica" w:cs="Helvetica"/>
                <w:b/>
                <w:color w:val="404040"/>
                <w:sz w:val="18"/>
                <w:szCs w:val="18"/>
                <w:lang w:eastAsia="pt-BR"/>
              </w:rPr>
            </w:pPr>
            <w:r w:rsidRPr="007E6709">
              <w:rPr>
                <w:rFonts w:ascii="Helvetica" w:eastAsia="Times New Roman" w:hAnsi="Helvetica" w:cs="Helvetica"/>
                <w:b/>
                <w:color w:val="404040"/>
                <w:sz w:val="18"/>
                <w:szCs w:val="18"/>
                <w:lang w:eastAsia="pt-BR"/>
              </w:rPr>
              <w:br/>
              <w:t>Equipamento</w:t>
            </w:r>
            <w:r w:rsidRPr="007E6709">
              <w:rPr>
                <w:rFonts w:ascii="Helvetica" w:eastAsia="Times New Roman" w:hAnsi="Helvetica" w:cs="Helvetica"/>
                <w:b/>
                <w:color w:val="404040"/>
                <w:sz w:val="18"/>
                <w:szCs w:val="18"/>
                <w:lang w:eastAsia="pt-BR"/>
              </w:rPr>
              <w:br/>
              <w:t xml:space="preserve">de Proteção Individual - EPI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E6709" w:rsidRPr="007E6709" w:rsidRDefault="007E6709" w:rsidP="004973A6">
            <w:pPr>
              <w:spacing w:after="0" w:line="360" w:lineRule="auto"/>
              <w:rPr>
                <w:rFonts w:ascii="Helvetica" w:eastAsia="Times New Roman" w:hAnsi="Helvetica" w:cs="Helvetica"/>
                <w:b/>
                <w:color w:val="404040"/>
                <w:sz w:val="18"/>
                <w:szCs w:val="18"/>
                <w:lang w:eastAsia="pt-BR"/>
              </w:rPr>
            </w:pPr>
            <w:r w:rsidRPr="007E6709">
              <w:rPr>
                <w:rFonts w:ascii="Helvetica" w:eastAsia="Times New Roman" w:hAnsi="Helvetica" w:cs="Helvetica"/>
                <w:b/>
                <w:color w:val="404040"/>
                <w:sz w:val="18"/>
                <w:szCs w:val="18"/>
                <w:lang w:eastAsia="pt-BR"/>
              </w:rPr>
              <w:br/>
              <w:t>Enquadramento</w:t>
            </w:r>
            <w:r w:rsidRPr="007E6709">
              <w:rPr>
                <w:rFonts w:ascii="Helvetica" w:eastAsia="Times New Roman" w:hAnsi="Helvetica" w:cs="Helvetica"/>
                <w:b/>
                <w:color w:val="404040"/>
                <w:sz w:val="18"/>
                <w:szCs w:val="18"/>
                <w:lang w:eastAsia="pt-BR"/>
              </w:rPr>
              <w:br/>
              <w:t xml:space="preserve">NR 06 - Anexo 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E6709" w:rsidRPr="007E6709" w:rsidRDefault="007E6709" w:rsidP="004973A6">
            <w:pPr>
              <w:spacing w:after="0" w:line="360" w:lineRule="auto"/>
              <w:rPr>
                <w:rFonts w:ascii="Helvetica" w:eastAsia="Times New Roman" w:hAnsi="Helvetica" w:cs="Helvetica"/>
                <w:b/>
                <w:color w:val="404040"/>
                <w:sz w:val="18"/>
                <w:szCs w:val="18"/>
                <w:lang w:eastAsia="pt-BR"/>
              </w:rPr>
            </w:pPr>
            <w:r w:rsidRPr="007E6709">
              <w:rPr>
                <w:rFonts w:ascii="Helvetica" w:eastAsia="Times New Roman" w:hAnsi="Helvetica" w:cs="Helvetica"/>
                <w:b/>
                <w:color w:val="404040"/>
                <w:sz w:val="18"/>
                <w:szCs w:val="18"/>
                <w:lang w:eastAsia="pt-BR"/>
              </w:rPr>
              <w:br/>
              <w:t xml:space="preserve">Norma Técnica Aplicável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E6709" w:rsidRPr="007E6709" w:rsidRDefault="007E6709" w:rsidP="004973A6">
            <w:pPr>
              <w:spacing w:after="0" w:line="360" w:lineRule="auto"/>
              <w:rPr>
                <w:rFonts w:ascii="Helvetica" w:eastAsia="Times New Roman" w:hAnsi="Helvetica" w:cs="Helvetica"/>
                <w:b/>
                <w:color w:val="404040"/>
                <w:sz w:val="18"/>
                <w:szCs w:val="18"/>
                <w:lang w:eastAsia="pt-BR"/>
              </w:rPr>
            </w:pPr>
            <w:r w:rsidRPr="007E6709">
              <w:rPr>
                <w:rFonts w:ascii="Helvetica" w:eastAsia="Times New Roman" w:hAnsi="Helvetica" w:cs="Helvetica"/>
                <w:b/>
                <w:color w:val="404040"/>
                <w:sz w:val="18"/>
                <w:szCs w:val="18"/>
                <w:lang w:eastAsia="pt-BR"/>
              </w:rPr>
              <w:br/>
              <w:t xml:space="preserve">Especificidades </w:t>
            </w:r>
          </w:p>
        </w:tc>
      </w:tr>
      <w:tr w:rsidR="007E6709" w:rsidRPr="007E6709" w:rsidTr="004973A6">
        <w:trPr>
          <w:trHeight w:val="689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6709" w:rsidRPr="007E6709" w:rsidRDefault="007E6709" w:rsidP="004973A6">
            <w:pPr>
              <w:spacing w:after="0" w:line="360" w:lineRule="auto"/>
              <w:rPr>
                <w:rFonts w:ascii="Helvetica" w:eastAsia="Times New Roman" w:hAnsi="Helvetica" w:cs="Helvetica"/>
                <w:color w:val="404040"/>
                <w:sz w:val="18"/>
                <w:szCs w:val="18"/>
                <w:lang w:eastAsia="pt-BR"/>
              </w:rPr>
            </w:pPr>
            <w:r w:rsidRPr="007E6709">
              <w:rPr>
                <w:rFonts w:ascii="Helvetica" w:eastAsia="Times New Roman" w:hAnsi="Helvetica" w:cs="Helvetica"/>
                <w:color w:val="404040"/>
                <w:sz w:val="18"/>
                <w:szCs w:val="18"/>
                <w:lang w:eastAsia="pt-BR"/>
              </w:rPr>
              <w:br/>
              <w:t xml:space="preserve">F - PROTEÇÃO DOS MEMBROS SUPERIORES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6709" w:rsidRPr="007E6709" w:rsidRDefault="007E6709" w:rsidP="004973A6">
            <w:pPr>
              <w:spacing w:after="0" w:line="360" w:lineRule="auto"/>
              <w:rPr>
                <w:rFonts w:ascii="Helvetica" w:eastAsia="Times New Roman" w:hAnsi="Helvetica" w:cs="Helvetica"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6709" w:rsidRPr="007E6709" w:rsidRDefault="007E6709" w:rsidP="004973A6">
            <w:pPr>
              <w:spacing w:after="0" w:line="360" w:lineRule="auto"/>
              <w:rPr>
                <w:rFonts w:ascii="Helvetica" w:eastAsia="Times New Roman" w:hAnsi="Helvetica" w:cs="Helvetica"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6709" w:rsidRPr="007E6709" w:rsidRDefault="007E6709" w:rsidP="004973A6">
            <w:pPr>
              <w:spacing w:after="0" w:line="360" w:lineRule="auto"/>
              <w:rPr>
                <w:rFonts w:ascii="Helvetica" w:eastAsia="Times New Roman" w:hAnsi="Helvetica" w:cs="Helvetica"/>
                <w:color w:val="404040"/>
                <w:sz w:val="18"/>
                <w:szCs w:val="18"/>
                <w:lang w:eastAsia="pt-BR"/>
              </w:rPr>
            </w:pPr>
          </w:p>
        </w:tc>
      </w:tr>
      <w:tr w:rsidR="007E6709" w:rsidRPr="007E6709" w:rsidTr="004973A6">
        <w:trPr>
          <w:trHeight w:val="419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6709" w:rsidRPr="007E6709" w:rsidRDefault="007E6709" w:rsidP="004973A6">
            <w:pPr>
              <w:spacing w:after="0" w:line="360" w:lineRule="auto"/>
              <w:rPr>
                <w:rFonts w:ascii="Helvetica" w:eastAsia="Times New Roman" w:hAnsi="Helvetica" w:cs="Helvetica"/>
                <w:color w:val="404040"/>
                <w:sz w:val="18"/>
                <w:szCs w:val="18"/>
                <w:lang w:eastAsia="pt-BR"/>
              </w:rPr>
            </w:pPr>
            <w:r w:rsidRPr="007E6709">
              <w:rPr>
                <w:rFonts w:ascii="Helvetica" w:eastAsia="Times New Roman" w:hAnsi="Helvetica" w:cs="Helvetica"/>
                <w:color w:val="404040"/>
                <w:sz w:val="18"/>
                <w:szCs w:val="18"/>
                <w:lang w:eastAsia="pt-BR"/>
              </w:rPr>
              <w:br/>
              <w:t xml:space="preserve">LUVA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6709" w:rsidRPr="007E6709" w:rsidRDefault="007E6709" w:rsidP="004973A6">
            <w:pPr>
              <w:spacing w:after="0" w:line="360" w:lineRule="auto"/>
              <w:rPr>
                <w:rFonts w:ascii="Helvetica" w:eastAsia="Times New Roman" w:hAnsi="Helvetica" w:cs="Helvetica"/>
                <w:color w:val="404040"/>
                <w:sz w:val="18"/>
                <w:szCs w:val="18"/>
                <w:lang w:eastAsia="pt-BR"/>
              </w:rPr>
            </w:pPr>
            <w:r w:rsidRPr="007E6709">
              <w:rPr>
                <w:rFonts w:ascii="Helvetica" w:eastAsia="Times New Roman" w:hAnsi="Helvetica" w:cs="Helvetica"/>
                <w:color w:val="404040"/>
                <w:sz w:val="18"/>
                <w:szCs w:val="18"/>
                <w:lang w:eastAsia="pt-BR"/>
              </w:rPr>
              <w:br/>
              <w:t xml:space="preserve">Proteção das mãos contra: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6709" w:rsidRPr="007E6709" w:rsidRDefault="007E6709" w:rsidP="004973A6">
            <w:pPr>
              <w:spacing w:after="0" w:line="360" w:lineRule="auto"/>
              <w:rPr>
                <w:rFonts w:ascii="Helvetica" w:eastAsia="Times New Roman" w:hAnsi="Helvetica" w:cs="Helvetica"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6709" w:rsidRPr="007E6709" w:rsidRDefault="007E6709" w:rsidP="004973A6">
            <w:pPr>
              <w:spacing w:after="0" w:line="360" w:lineRule="auto"/>
              <w:rPr>
                <w:rFonts w:ascii="Helvetica" w:eastAsia="Times New Roman" w:hAnsi="Helvetica" w:cs="Helvetica"/>
                <w:color w:val="404040"/>
                <w:sz w:val="18"/>
                <w:szCs w:val="18"/>
                <w:lang w:eastAsia="pt-BR"/>
              </w:rPr>
            </w:pPr>
          </w:p>
        </w:tc>
      </w:tr>
      <w:tr w:rsidR="007E6709" w:rsidRPr="007E6709" w:rsidTr="004973A6">
        <w:trPr>
          <w:trHeight w:val="2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6709" w:rsidRPr="007E6709" w:rsidRDefault="007E6709" w:rsidP="004973A6">
            <w:pPr>
              <w:spacing w:after="0" w:line="360" w:lineRule="auto"/>
              <w:rPr>
                <w:rFonts w:ascii="Helvetica" w:eastAsia="Times New Roman" w:hAnsi="Helvetica" w:cs="Helvetica"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6709" w:rsidRPr="007E6709" w:rsidRDefault="007E6709" w:rsidP="004973A6">
            <w:pPr>
              <w:spacing w:after="0" w:line="360" w:lineRule="auto"/>
              <w:rPr>
                <w:rFonts w:ascii="Helvetica" w:eastAsia="Times New Roman" w:hAnsi="Helvetica" w:cs="Helvetica"/>
                <w:color w:val="404040"/>
                <w:sz w:val="18"/>
                <w:szCs w:val="18"/>
                <w:lang w:eastAsia="pt-BR"/>
              </w:rPr>
            </w:pPr>
            <w:r w:rsidRPr="007E6709">
              <w:rPr>
                <w:rFonts w:ascii="Helvetica" w:eastAsia="Times New Roman" w:hAnsi="Helvetica" w:cs="Helvetica"/>
                <w:color w:val="404040"/>
                <w:sz w:val="18"/>
                <w:szCs w:val="18"/>
                <w:lang w:eastAsia="pt-BR"/>
              </w:rPr>
              <w:br/>
              <w:t xml:space="preserve">Agentes mecânicos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6709" w:rsidRPr="007E6709" w:rsidRDefault="007E6709" w:rsidP="004973A6">
            <w:pPr>
              <w:spacing w:after="0" w:line="360" w:lineRule="auto"/>
              <w:rPr>
                <w:rFonts w:ascii="Helvetica" w:eastAsia="Times New Roman" w:hAnsi="Helvetica" w:cs="Helvetica"/>
                <w:color w:val="404040"/>
                <w:sz w:val="18"/>
                <w:szCs w:val="18"/>
                <w:lang w:eastAsia="pt-BR"/>
              </w:rPr>
            </w:pPr>
            <w:r w:rsidRPr="007E6709">
              <w:rPr>
                <w:rFonts w:ascii="Helvetica" w:eastAsia="Times New Roman" w:hAnsi="Helvetica" w:cs="Helvetica"/>
                <w:color w:val="404040"/>
                <w:sz w:val="18"/>
                <w:szCs w:val="18"/>
                <w:lang w:eastAsia="pt-BR"/>
              </w:rPr>
              <w:br/>
              <w:t>ISO 11393-</w:t>
            </w:r>
            <w:proofErr w:type="gramStart"/>
            <w:r w:rsidRPr="007E6709">
              <w:rPr>
                <w:rFonts w:ascii="Helvetica" w:eastAsia="Times New Roman" w:hAnsi="Helvetica" w:cs="Helvetica"/>
                <w:color w:val="404040"/>
                <w:sz w:val="18"/>
                <w:szCs w:val="18"/>
                <w:lang w:eastAsia="pt-BR"/>
              </w:rPr>
              <w:t>4:2003</w:t>
            </w:r>
            <w:proofErr w:type="gramEnd"/>
            <w:r w:rsidRPr="007E6709">
              <w:rPr>
                <w:rFonts w:ascii="Helvetica" w:eastAsia="Times New Roman" w:hAnsi="Helvetica" w:cs="Helvetica"/>
                <w:color w:val="404040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6709" w:rsidRPr="007E6709" w:rsidRDefault="007E6709" w:rsidP="004973A6">
            <w:pPr>
              <w:spacing w:after="0" w:line="360" w:lineRule="auto"/>
              <w:rPr>
                <w:rFonts w:ascii="Helvetica" w:eastAsia="Times New Roman" w:hAnsi="Helvetica" w:cs="Helvetica"/>
                <w:color w:val="404040"/>
                <w:sz w:val="18"/>
                <w:szCs w:val="18"/>
                <w:lang w:eastAsia="pt-BR"/>
              </w:rPr>
            </w:pPr>
            <w:r w:rsidRPr="007E6709">
              <w:rPr>
                <w:rFonts w:ascii="Helvetica" w:eastAsia="Times New Roman" w:hAnsi="Helvetica" w:cs="Helvetica"/>
                <w:color w:val="404040"/>
                <w:sz w:val="18"/>
                <w:szCs w:val="18"/>
                <w:lang w:eastAsia="pt-BR"/>
              </w:rPr>
              <w:br/>
              <w:t xml:space="preserve">Luvas para motoserristas </w:t>
            </w:r>
          </w:p>
        </w:tc>
      </w:tr>
    </w:tbl>
    <w:p w:rsidR="007E6709" w:rsidRPr="007E6709" w:rsidRDefault="007E6709" w:rsidP="004973A6">
      <w:pPr>
        <w:spacing w:after="0" w:line="360" w:lineRule="auto"/>
        <w:rPr>
          <w:rFonts w:ascii="Helvetica" w:eastAsia="Times New Roman" w:hAnsi="Helvetica" w:cs="Helvetica"/>
          <w:color w:val="404040"/>
          <w:sz w:val="18"/>
          <w:szCs w:val="18"/>
          <w:lang w:eastAsia="pt-BR"/>
        </w:rPr>
      </w:pPr>
    </w:p>
    <w:p w:rsidR="007E6709" w:rsidRPr="007E6709" w:rsidRDefault="007E6709" w:rsidP="004973A6">
      <w:pPr>
        <w:spacing w:after="0" w:line="360" w:lineRule="auto"/>
        <w:rPr>
          <w:rFonts w:ascii="Helvetica" w:eastAsia="Times New Roman" w:hAnsi="Helvetica" w:cs="Helvetica"/>
          <w:color w:val="404040"/>
          <w:sz w:val="18"/>
          <w:szCs w:val="18"/>
          <w:lang w:eastAsia="pt-BR"/>
        </w:rPr>
      </w:pPr>
      <w:r w:rsidRPr="007E6709">
        <w:rPr>
          <w:rFonts w:ascii="Helvetica" w:eastAsia="Times New Roman" w:hAnsi="Helvetica" w:cs="Helvetica"/>
          <w:color w:val="404040"/>
          <w:sz w:val="18"/>
          <w:szCs w:val="18"/>
          <w:lang w:eastAsia="pt-BR"/>
        </w:rPr>
        <w:t>Art. 2º Esta portaria entra em vigor na data de sua publicação.</w:t>
      </w:r>
    </w:p>
    <w:p w:rsidR="004973A6" w:rsidRDefault="004973A6" w:rsidP="004973A6">
      <w:pPr>
        <w:spacing w:before="180" w:after="0" w:line="270" w:lineRule="atLeast"/>
        <w:rPr>
          <w:rFonts w:ascii="Helvetica" w:eastAsia="Times New Roman" w:hAnsi="Helvetica" w:cs="Helvetica"/>
          <w:color w:val="404040"/>
          <w:sz w:val="18"/>
          <w:szCs w:val="18"/>
          <w:lang w:eastAsia="pt-BR"/>
        </w:rPr>
      </w:pPr>
    </w:p>
    <w:p w:rsidR="007E6709" w:rsidRPr="007E6709" w:rsidRDefault="007E6709" w:rsidP="004973A6">
      <w:pPr>
        <w:spacing w:before="180" w:after="0" w:line="270" w:lineRule="atLeast"/>
        <w:jc w:val="center"/>
        <w:rPr>
          <w:rFonts w:ascii="Helvetica" w:eastAsia="Times New Roman" w:hAnsi="Helvetica" w:cs="Helvetica"/>
          <w:color w:val="404040"/>
          <w:sz w:val="18"/>
          <w:szCs w:val="18"/>
          <w:lang w:eastAsia="pt-BR"/>
        </w:rPr>
      </w:pPr>
      <w:r w:rsidRPr="007E6709">
        <w:rPr>
          <w:rFonts w:ascii="Helvetica" w:eastAsia="Times New Roman" w:hAnsi="Helvetica" w:cs="Helvetica"/>
          <w:color w:val="404040"/>
          <w:sz w:val="18"/>
          <w:szCs w:val="18"/>
          <w:lang w:eastAsia="pt-BR"/>
        </w:rPr>
        <w:t>PAULO SÉRGIO DE ALMEIDA</w:t>
      </w:r>
    </w:p>
    <w:p w:rsidR="007E6709" w:rsidRDefault="007E6709"/>
    <w:sectPr w:rsidR="007E6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709"/>
    <w:rsid w:val="004973A6"/>
    <w:rsid w:val="007114A4"/>
    <w:rsid w:val="007E6709"/>
    <w:rsid w:val="00B5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6709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sz w:val="18"/>
      <w:szCs w:val="1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6709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1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Confederacao Nacional da Industria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CNI</dc:creator>
  <cp:lastModifiedBy>CNI</cp:lastModifiedBy>
  <cp:revision>2</cp:revision>
  <dcterms:created xsi:type="dcterms:W3CDTF">2014-05-28T11:20:00Z</dcterms:created>
  <dcterms:modified xsi:type="dcterms:W3CDTF">2014-05-28T11:39:00Z</dcterms:modified>
</cp:coreProperties>
</file>