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Yu Gothic" w:cs="Yu Gothic" w:eastAsia="Yu Gothic" w:hAnsi="Yu Gothic"/>
          <w:b/>
          <w:bCs/>
          <w:color w:val="1F3864"/>
          <w:sz w:val="40"/>
          <w:szCs w:val="40"/>
        </w:rPr>
        <w:t xml:space="preserve">議事録</w:t>
      </w:r>
    </w:p>
    <w:p>
      <w:pPr>
        <w:spacing w:after="200"/>
        <w:jc w:val="center"/>
      </w:pPr>
      <w:r>
        <w:rPr>
          <w:rFonts w:ascii="Yu Gothic" w:cs="Yu Gothic" w:eastAsia="Yu Gothic" w:hAnsi="Yu Gothic"/>
          <w:color w:val="595959"/>
          <w:sz w:val="24"/>
          <w:szCs w:val="24"/>
        </w:rPr>
        <w:t xml:space="preserve">MJOCX 変換作業 レビュー打ち合わせ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E8EEF5" w:val="clear"/>
            <w:tcMar>
              <w:top w:type="dxa" w:w="60"/>
              <w:left w:type="dxa" w:w="120"/>
              <w:bottom w:type="dxa" w:w="60"/>
              <w:right w:type="dxa" w:w="120"/>
            </w:tcMar>
          </w:tcPr>
          <w:p>
            <w:r>
              <w:rPr>
                <w:b/>
                <w:bCs/>
              </w:rPr>
              <w:t xml:space="preserve">件名</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MJOCX 変換作業内容のレビュー・確認</w:t>
            </w:r>
          </w:p>
        </w:tc>
      </w:tr>
      <w:tr>
        <w:tc>
          <w:tcPr>
            <w:tcW w:type="dxa" w:w="2400"/>
            <w:tcBorders>
              <w:top w:val="single" w:color="BFBFBF" w:sz="1"/>
              <w:left w:val="single" w:color="BFBFBF" w:sz="1"/>
              <w:bottom w:val="single" w:color="BFBFBF" w:sz="1"/>
              <w:right w:val="single" w:color="BFBFBF" w:sz="1"/>
            </w:tcBorders>
            <w:shd w:fill="E8EEF5" w:val="clear"/>
            <w:tcMar>
              <w:top w:type="dxa" w:w="60"/>
              <w:left w:type="dxa" w:w="120"/>
              <w:bottom w:type="dxa" w:w="60"/>
              <w:right w:type="dxa" w:w="120"/>
            </w:tcMar>
          </w:tcPr>
          <w:p>
            <w:r>
              <w:rPr>
                <w:b/>
                <w:bCs/>
              </w:rPr>
              <w:t xml:space="preserve">日時</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2026年6月（13:29〜14:03）</w:t>
            </w:r>
          </w:p>
        </w:tc>
      </w:tr>
      <w:tr>
        <w:tc>
          <w:tcPr>
            <w:tcW w:type="dxa" w:w="2400"/>
            <w:tcBorders>
              <w:top w:val="single" w:color="BFBFBF" w:sz="1"/>
              <w:left w:val="single" w:color="BFBFBF" w:sz="1"/>
              <w:bottom w:val="single" w:color="BFBFBF" w:sz="1"/>
              <w:right w:val="single" w:color="BFBFBF" w:sz="1"/>
            </w:tcBorders>
            <w:shd w:fill="E8EEF5" w:val="clear"/>
            <w:tcMar>
              <w:top w:type="dxa" w:w="60"/>
              <w:left w:type="dxa" w:w="120"/>
              <w:bottom w:type="dxa" w:w="60"/>
              <w:right w:type="dxa" w:w="120"/>
            </w:tcMar>
          </w:tcPr>
          <w:p>
            <w:r>
              <w:rPr>
                <w:b/>
                <w:bCs/>
              </w:rPr>
              <w:t xml:space="preserve">形式</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オンライン会議</w:t>
            </w:r>
          </w:p>
        </w:tc>
      </w:tr>
      <w:tr>
        <w:tc>
          <w:tcPr>
            <w:tcW w:type="dxa" w:w="2400"/>
            <w:tcBorders>
              <w:top w:val="single" w:color="BFBFBF" w:sz="1"/>
              <w:left w:val="single" w:color="BFBFBF" w:sz="1"/>
              <w:bottom w:val="single" w:color="BFBFBF" w:sz="1"/>
              <w:right w:val="single" w:color="BFBFBF" w:sz="1"/>
            </w:tcBorders>
            <w:shd w:fill="E8EEF5" w:val="clear"/>
            <w:tcMar>
              <w:top w:type="dxa" w:w="60"/>
              <w:left w:type="dxa" w:w="120"/>
              <w:bottom w:type="dxa" w:w="60"/>
              <w:right w:type="dxa" w:w="120"/>
            </w:tcMar>
          </w:tcPr>
          <w:p>
            <w:r>
              <w:rPr>
                <w:b/>
                <w:bCs/>
              </w:rPr>
              <w:t xml:space="preserve">出席者</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レビュー担当、作業担当者</w:t>
            </w:r>
          </w:p>
        </w:tc>
      </w:tr>
      <w:tr>
        <w:tc>
          <w:tcPr>
            <w:tcW w:type="dxa" w:w="2400"/>
            <w:tcBorders>
              <w:top w:val="single" w:color="BFBFBF" w:sz="1"/>
              <w:left w:val="single" w:color="BFBFBF" w:sz="1"/>
              <w:bottom w:val="single" w:color="BFBFBF" w:sz="1"/>
              <w:right w:val="single" w:color="BFBFBF" w:sz="1"/>
            </w:tcBorders>
            <w:shd w:fill="E8EEF5" w:val="clear"/>
            <w:tcMar>
              <w:top w:type="dxa" w:w="60"/>
              <w:left w:type="dxa" w:w="120"/>
              <w:bottom w:type="dxa" w:w="60"/>
              <w:right w:type="dxa" w:w="120"/>
            </w:tcMar>
          </w:tcPr>
          <w:p>
            <w:r>
              <w:rPr>
                <w:b/>
                <w:bCs/>
              </w:rPr>
              <w:t xml:space="preserve">関係者</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t xml:space="preserve">野中さん（対象資源のピックアップ担当）、山下さん（11月向けスケジュール）</w:t>
            </w:r>
          </w:p>
        </w:tc>
      </w:tr>
    </w:tbl>
    <w:p>
      <w:pPr>
        <w:pStyle w:val="Heading1"/>
      </w:pPr>
      <w:r>
        <w:t xml:space="preserve">1. 会議の目的</w:t>
      </w:r>
    </w:p>
    <w:p>
      <w:pPr>
        <w:spacing w:after="80"/>
      </w:pPr>
      <w:r>
        <w:t xml:space="preserve">MJOCX 案件における変換作業（辞書生成・コンバート・Mandara 適用・ビルド）について、作業担当者が実施した内容をレビューし、作業手順の妥当性および結果の信頼性を確認する。</w:t>
      </w:r>
    </w:p>
    <w:p>
      <w:pPr>
        <w:pStyle w:val="Heading1"/>
      </w:pPr>
      <w:r>
        <w:t xml:space="preserve">2. 議事内容</w:t>
      </w:r>
    </w:p>
    <w:p>
      <w:pPr>
        <w:pStyle w:val="Heading2"/>
      </w:pPr>
      <w:r>
        <w:t xml:space="preserve">2.1 TFS / 作業環境の取り扱い</w:t>
      </w:r>
    </w:p>
    <w:p>
      <w:pPr>
        <w:pStyle w:val="ListParagraph"/>
        <w:numPr>
          <w:ilvl w:val="0"/>
          <w:numId w:val="2"/>
        </w:numPr>
        <w:spacing w:after="60"/>
      </w:pPr>
      <w:r>
        <w:t xml:space="preserve">TFS 上で全員が共有・管理している資源そのものには手を入れず、ローカルに丸ごとコピーした作業用クローンで作業を実施する方針を確認した。</w:t>
      </w:r>
    </w:p>
    <w:p>
      <w:pPr>
        <w:pStyle w:val="ListParagraph"/>
        <w:numPr>
          <w:ilvl w:val="0"/>
          <w:numId w:val="2"/>
        </w:numPr>
        <w:spacing w:after="60"/>
      </w:pPr>
      <w:r>
        <w:t xml:space="preserve">「バックアップ」ではなく、あくまで作業用クローンとしての位置づけである点を共有した。</w:t>
      </w:r>
    </w:p>
    <w:p>
      <w:pPr>
        <w:pStyle w:val="ListParagraph"/>
        <w:numPr>
          <w:ilvl w:val="0"/>
          <w:numId w:val="2"/>
        </w:numPr>
        <w:spacing w:after="60"/>
      </w:pPr>
      <w:r>
        <w:t xml:space="preserve">作業に用いた資源は、TFS から確実に最新を取得していること、および取得日のスナップショットを必ず野中さんへ連携することを確認・依頼した（直近で重複・他者の修正があり得るため、どの時点の資源にコンバートをかけたかが重要となる）。</w:t>
      </w:r>
    </w:p>
    <w:p>
      <w:pPr>
        <w:pStyle w:val="Heading2"/>
      </w:pPr>
      <w:r>
        <w:t xml:space="preserve">2.2 辞書生成（3分割実施）の懸念</w:t>
      </w:r>
    </w:p>
    <w:p>
      <w:pPr>
        <w:pStyle w:val="ListParagraph"/>
        <w:numPr>
          <w:ilvl w:val="0"/>
          <w:numId w:val="2"/>
        </w:numPr>
        <w:spacing w:after="60"/>
      </w:pPr>
      <w:r>
        <w:t xml:space="preserve">辞書生成を Include・Mandara・WinApp の3つに分けて、それぞれ実施したとの報告があった。</w:t>
      </w:r>
    </w:p>
    <w:p>
      <w:pPr>
        <w:pStyle w:val="ListParagraph"/>
        <w:numPr>
          <w:ilvl w:val="0"/>
          <w:numId w:val="2"/>
        </w:numPr>
        <w:spacing w:after="60"/>
      </w:pPr>
      <w:r>
        <w:t xml:space="preserve">ツールがフォルダ配下のサブフォルダを参照する仕様のため、3つを1つのフォルダにまとめて一括で実行すれば本来一度で完了する見込みである。</w:t>
      </w:r>
    </w:p>
    <w:p>
      <w:pPr>
        <w:pStyle w:val="ListParagraph"/>
        <w:numPr>
          <w:ilvl w:val="0"/>
          <w:numId w:val="2"/>
        </w:numPr>
        <w:spacing w:after="60"/>
      </w:pPr>
      <w:r>
        <w:t xml:space="preserve">ツールが資源間の関連性（VB プロジェクトの依存関係等）まで参照している場合、分割実行により結果が変わる恐れがある。特に Mandara は Include を参照する可能性がある。</w:t>
      </w:r>
    </w:p>
    <w:p>
      <w:pPr>
        <w:pStyle w:val="ListParagraph"/>
        <w:numPr>
          <w:ilvl w:val="0"/>
          <w:numId w:val="2"/>
        </w:numPr>
        <w:spacing w:after="60"/>
      </w:pPr>
      <w:r>
        <w:t xml:space="preserve">単純に対象を抽出しているだけであれば分割でも問題ないが、念のため全資源を1フォルダにまとめて実行し、3分割時の辞書内容と一致するか確認することを依頼した。</w:t>
      </w:r>
    </w:p>
    <w:p>
      <w:pPr>
        <w:pStyle w:val="Heading2"/>
      </w:pPr>
      <w:r>
        <w:t xml:space="preserve">2.3 コンバート作業</w:t>
      </w:r>
    </w:p>
    <w:p>
      <w:pPr>
        <w:pStyle w:val="ListParagraph"/>
        <w:numPr>
          <w:ilvl w:val="0"/>
          <w:numId w:val="2"/>
        </w:numPr>
        <w:spacing w:after="60"/>
      </w:pPr>
      <w:r>
        <w:t xml:space="preserve">コンバートも辞書と同様に3フォルダに分けて（辞書生成→コンバートを各3回）実施したとの報告。基本的に問題ないと考えられるが、2.2 の懸念点（分割の影響）を併せて確認することを依頼した。</w:t>
      </w:r>
    </w:p>
    <w:p>
      <w:pPr>
        <w:pStyle w:val="Heading2"/>
      </w:pPr>
      <w:r>
        <w:t xml:space="preserve">2.4 対象母数の妥当性</w:t>
      </w:r>
    </w:p>
    <w:p>
      <w:pPr>
        <w:pStyle w:val="ListParagraph"/>
        <w:numPr>
          <w:ilvl w:val="0"/>
          <w:numId w:val="2"/>
        </w:numPr>
        <w:spacing w:after="60"/>
      </w:pPr>
      <w:r>
        <w:t xml:space="preserve">今回はリスク対応分のみを対象としており、全量ではない。対象母数（VApp が何件、Mandara が何件か）は野中さんがピックアップしている。</w:t>
      </w:r>
    </w:p>
    <w:p>
      <w:pPr>
        <w:pStyle w:val="ListParagraph"/>
        <w:numPr>
          <w:ilvl w:val="0"/>
          <w:numId w:val="2"/>
        </w:numPr>
        <w:spacing w:after="60"/>
      </w:pPr>
      <w:r>
        <w:t xml:space="preserve">その母数自体に誤りがないか（ピックアップの正当性）について、明確な確認が取れていないため、野中さんへの確認が必要である。</w:t>
      </w:r>
    </w:p>
    <w:p>
      <w:pPr>
        <w:pStyle w:val="Heading2"/>
      </w:pPr>
      <w:r>
        <w:t xml:space="preserve">2.5 エラー抽出の手法とエビデンスの懸念</w:t>
      </w:r>
    </w:p>
    <w:p>
      <w:pPr>
        <w:pStyle w:val="ListParagraph"/>
        <w:numPr>
          <w:ilvl w:val="0"/>
          <w:numId w:val="2"/>
        </w:numPr>
        <w:spacing w:after="60"/>
      </w:pPr>
      <w:r>
        <w:t xml:space="preserve">Visual Studio のビルド結果からエラーのみをシートに記載しているが、警告とエラーの切り分け方法（フィルタ利用か目視判断か）が明確でなかった。</w:t>
      </w:r>
    </w:p>
    <w:p>
      <w:pPr>
        <w:pStyle w:val="ListParagraph"/>
        <w:numPr>
          <w:ilvl w:val="0"/>
          <w:numId w:val="2"/>
        </w:numPr>
        <w:spacing w:after="60"/>
      </w:pPr>
      <w:r>
        <w:t xml:space="preserve">ツールのフィルタ機能で警告を除外しエラーのみを全量抽出したのであれば作業として信頼できるが、1件ずつ目視で判断した場合は見落としのリスクがあり、結果の信頼性が揺らぐ。</w:t>
      </w:r>
    </w:p>
    <w:p>
      <w:pPr>
        <w:pStyle w:val="ListParagraph"/>
        <w:numPr>
          <w:ilvl w:val="0"/>
          <w:numId w:val="2"/>
        </w:numPr>
        <w:spacing w:after="60"/>
      </w:pPr>
      <w:r>
        <w:t xml:space="preserve">プロセスのエビデンスが残らず結果しか確認できないため、今後はどのような手順で作業・抽出を行ったかを意識し、説明できるようにすることが重要である旨を指摘した。</w:t>
      </w:r>
    </w:p>
    <w:p>
      <w:pPr>
        <w:pStyle w:val="ListParagraph"/>
        <w:numPr>
          <w:ilvl w:val="0"/>
          <w:numId w:val="2"/>
        </w:numPr>
        <w:spacing w:after="60"/>
      </w:pPr>
      <w:r>
        <w:t xml:space="preserve">今回のエラー抽出分については、後工程の修正時に併せて対応可能なレベルとして、一旦信用する形とした。</w:t>
      </w:r>
    </w:p>
    <w:p>
      <w:pPr>
        <w:pStyle w:val="Heading2"/>
      </w:pPr>
      <w:r>
        <w:t xml:space="preserve">2.6 Mandara 適用 / プロジェクト構成の確認</w:t>
      </w:r>
    </w:p>
    <w:p>
      <w:pPr>
        <w:pStyle w:val="ListParagraph"/>
        <w:numPr>
          <w:ilvl w:val="0"/>
          <w:numId w:val="2"/>
        </w:numPr>
        <w:spacing w:after="60"/>
      </w:pPr>
      <w:r>
        <w:t xml:space="preserve">Mandara はプロジェクトが参照しているファイルのみを対象とするため、Include / WinApp / Mandara を分割した状態で適用すると Include 資源が取り残される恐れがある。</w:t>
      </w:r>
    </w:p>
    <w:p>
      <w:pPr>
        <w:pStyle w:val="ListParagraph"/>
        <w:numPr>
          <w:ilvl w:val="0"/>
          <w:numId w:val="2"/>
        </w:numPr>
        <w:spacing w:after="60"/>
      </w:pPr>
      <w:r>
        <w:t xml:space="preserve">作業担当者は、通常の DevOps/TFS の構成に戻し、コンバート後の資源を配置してプロジェクトが開けることを確認した上で Mandara を適用した、と説明。</w:t>
      </w:r>
    </w:p>
    <w:p>
      <w:pPr>
        <w:pStyle w:val="ListParagraph"/>
        <w:numPr>
          <w:ilvl w:val="0"/>
          <w:numId w:val="2"/>
        </w:numPr>
        <w:spacing w:after="60"/>
      </w:pPr>
      <w:r>
        <w:t xml:space="preserve">ただし「コンバート済み資源がプロジェクトとして全て適用されているか」という観点（プロジェクト単位の意識）までは認識していなかった。Include はプロジェクトフォルダに含まれない特殊な扱いのため、使用側が確実に意識しないと取り漏れるリスクがある点を指摘した。</w:t>
      </w:r>
    </w:p>
    <w:p>
      <w:pPr>
        <w:pStyle w:val="Heading2"/>
      </w:pPr>
      <w:r>
        <w:t xml:space="preserve">2.7 作業の目的理解について（レビューアーからの指摘）</w:t>
      </w:r>
    </w:p>
    <w:p>
      <w:pPr>
        <w:pStyle w:val="ListParagraph"/>
        <w:numPr>
          <w:ilvl w:val="0"/>
          <w:numId w:val="2"/>
        </w:numPr>
        <w:spacing w:after="60"/>
      </w:pPr>
      <w:r>
        <w:t xml:space="preserve">手順どおり作業することは前提だが、その手順がどのような目的の上に成り立っているかを理解しないと、取りこぼし時にやり直しとなり、作業の正当性を問われた際に保証ができない。</w:t>
      </w:r>
    </w:p>
    <w:p>
      <w:pPr>
        <w:pStyle w:val="ListParagraph"/>
        <w:numPr>
          <w:ilvl w:val="0"/>
          <w:numId w:val="2"/>
        </w:numPr>
        <w:spacing w:after="60"/>
      </w:pPr>
      <w:r>
        <w:t xml:space="preserve">資源管理は「意図・意識を持って管理できている」状態であって初めて妥当と言える。今後も、何のためにその手順を踏むのかを常に確認しながら作業することが望ましい。</w:t>
      </w:r>
    </w:p>
    <w:p>
      <w:pPr>
        <w:pStyle w:val="Heading2"/>
      </w:pPr>
      <w:r>
        <w:t xml:space="preserve">2.8 ビルド結果・スケジュール</w:t>
      </w:r>
    </w:p>
    <w:p>
      <w:pPr>
        <w:pStyle w:val="ListParagraph"/>
        <w:numPr>
          <w:ilvl w:val="0"/>
          <w:numId w:val="2"/>
        </w:numPr>
        <w:spacing w:after="60"/>
      </w:pPr>
      <w:r>
        <w:t xml:space="preserve">ビルド結果は先日共有済みのとおりで、成功・失敗が混在しており、前回から変化が出ている。</w:t>
      </w:r>
    </w:p>
    <w:p>
      <w:pPr>
        <w:pStyle w:val="ListParagraph"/>
        <w:numPr>
          <w:ilvl w:val="0"/>
          <w:numId w:val="2"/>
        </w:numPr>
        <w:spacing w:after="60"/>
      </w:pPr>
      <w:r>
        <w:t xml:space="preserve">11月向けに何本出すかのスケジュールは野中さん・山下さんが検討中で、本会議では未確認。今回の全量作業がどのターゲット（11月向けか、全体か）に対するものかを整理し、11月向け対象資源を確認した上で野中さんへ提出・本登録していく必要がある。</w:t>
      </w:r>
    </w:p>
    <w:p>
      <w:pPr>
        <w:pStyle w:val="Heading1"/>
      </w:pPr>
      <w:r>
        <w:t xml:space="preserve">3. 結論・今後の方針</w:t>
      </w:r>
    </w:p>
    <w:p>
      <w:pPr>
        <w:pStyle w:val="ListParagraph"/>
        <w:numPr>
          <w:ilvl w:val="0"/>
          <w:numId w:val="2"/>
        </w:numPr>
        <w:spacing w:after="60"/>
      </w:pPr>
      <w:r>
        <w:t xml:space="preserve">今回の作業は、いくつかの懸念点（分割実行の影響、母数の妥当性、エラー抽出手法、プロジェクト単位の確認）を残しつつも、一旦は信用する形とする。</w:t>
      </w:r>
    </w:p>
    <w:p>
      <w:pPr>
        <w:pStyle w:val="ListParagraph"/>
        <w:numPr>
          <w:ilvl w:val="0"/>
          <w:numId w:val="2"/>
        </w:numPr>
        <w:spacing w:after="60"/>
      </w:pPr>
      <w:r>
        <w:t xml:space="preserve">再実施するか現状を前提に進めるかは、野中さんへの確認を踏まえて判断する。</w:t>
      </w:r>
    </w:p>
    <w:p>
      <w:pPr>
        <w:pStyle w:val="ListParagraph"/>
        <w:numPr>
          <w:ilvl w:val="0"/>
          <w:numId w:val="2"/>
        </w:numPr>
        <w:spacing w:after="60"/>
      </w:pPr>
      <w:r>
        <w:t xml:space="preserve">本会議の結果は作業担当者から野中さんへ報告する。</w:t>
      </w:r>
    </w:p>
    <w:p>
      <w:pPr>
        <w:pStyle w:val="Heading1"/>
      </w:pPr>
      <w:r>
        <w:t xml:space="preserve">4. アクションアイテム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2200"/>
        <w:gridCol w:w="1460"/>
      </w:tblGrid>
      <w:tr>
        <w:trPr>
          <w:tblHeader/>
        </w:trPr>
        <w:tc>
          <w:tcPr>
            <w:tcW w:type="dxa" w:w="7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r>
              <w:rPr>
                <w:b/>
                <w:bCs/>
                <w:color w:val="FFFFFF"/>
              </w:rPr>
              <w:t xml:space="preserve">No.</w:t>
            </w:r>
          </w:p>
        </w:tc>
        <w:tc>
          <w:tcPr>
            <w:tcW w:type="dxa" w:w="50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r>
              <w:rPr>
                <w:b/>
                <w:bCs/>
                <w:color w:val="FFFFFF"/>
              </w:rPr>
              <w:t xml:space="preserve">対応事項</w:t>
            </w:r>
          </w:p>
        </w:tc>
        <w:tc>
          <w:tcPr>
            <w:tcW w:type="dxa" w:w="22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r>
              <w:rPr>
                <w:b/>
                <w:bCs/>
                <w:color w:val="FFFFFF"/>
              </w:rPr>
              <w:t xml:space="preserve">担当</w:t>
            </w:r>
          </w:p>
        </w:tc>
        <w:tc>
          <w:tcPr>
            <w:tcW w:type="dxa" w:w="14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r>
              <w:rPr>
                <w:b/>
                <w:bCs/>
                <w:color w:val="FFFFFF"/>
              </w:rPr>
              <w:t xml:space="preserve">状態</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1</w:t>
            </w:r>
          </w:p>
        </w:tc>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Include・WinApp・Mandara を1フォルダにまとめて辞書生成し、3分割時の結果と一致するか確認</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作業担当者</w:t>
            </w:r>
          </w:p>
        </w:tc>
        <w:tc>
          <w:tcPr>
            <w:tcW w:type="dxa" w:w="146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未対応</w:t>
            </w:r>
          </w:p>
        </w:tc>
      </w:tr>
      <w:tr>
        <w:tc>
          <w:tcPr>
            <w:tcW w:type="dxa" w:w="7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t xml:space="preserve">2</w:t>
            </w:r>
          </w:p>
        </w:tc>
        <w:tc>
          <w:tcPr>
            <w:tcW w:type="dxa" w:w="5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t xml:space="preserve">対象母数（VApp / Mandara の件数）の妥当性を野中さんへ確認</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t xml:space="preserve">作業担当者</w:t>
            </w:r>
          </w:p>
        </w:tc>
        <w:tc>
          <w:tcPr>
            <w:tcW w:type="dxa" w:w="14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t xml:space="preserve">未対応</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3</w:t>
            </w:r>
          </w:p>
        </w:tc>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エラー抽出の手法を明確化し、今後はプロセスを説明できる形で実施</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作業担当者</w:t>
            </w:r>
          </w:p>
        </w:tc>
        <w:tc>
          <w:tcPr>
            <w:tcW w:type="dxa" w:w="146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継続</w:t>
            </w:r>
          </w:p>
        </w:tc>
      </w:tr>
      <w:tr>
        <w:tc>
          <w:tcPr>
            <w:tcW w:type="dxa" w:w="7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t xml:space="preserve">4</w:t>
            </w:r>
          </w:p>
        </w:tc>
        <w:tc>
          <w:tcPr>
            <w:tcW w:type="dxa" w:w="5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t xml:space="preserve">プロジェクト単位でコンバート済み資源の適用状況を意識し再確認（特に Include）</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t xml:space="preserve">作業担当者</w:t>
            </w:r>
          </w:p>
        </w:tc>
        <w:tc>
          <w:tcPr>
            <w:tcW w:type="dxa" w:w="14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t xml:space="preserve">未対応</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5</w:t>
            </w:r>
          </w:p>
        </w:tc>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TFS 資源取得日のスナップショットを野中さんへ連携</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作業担当者</w:t>
            </w:r>
          </w:p>
        </w:tc>
        <w:tc>
          <w:tcPr>
            <w:tcW w:type="dxa" w:w="146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未対応</w:t>
            </w:r>
          </w:p>
        </w:tc>
      </w:tr>
      <w:tr>
        <w:tc>
          <w:tcPr>
            <w:tcW w:type="dxa" w:w="7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t xml:space="preserve">6</w:t>
            </w:r>
          </w:p>
        </w:tc>
        <w:tc>
          <w:tcPr>
            <w:tcW w:type="dxa" w:w="5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t xml:space="preserve">11月向け対象資源を確認し、提出範囲を整理</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t xml:space="preserve">作業担当者 / 野中さん</w:t>
            </w:r>
          </w:p>
        </w:tc>
        <w:tc>
          <w:tcPr>
            <w:tcW w:type="dxa" w:w="14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t xml:space="preserve">未対応</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7</w:t>
            </w:r>
          </w:p>
        </w:tc>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本会議結果を野中さんへ報告</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作業担当者</w:t>
            </w:r>
          </w:p>
        </w:tc>
        <w:tc>
          <w:tcPr>
            <w:tcW w:type="dxa" w:w="1460"/>
            <w:tcBorders>
              <w:top w:val="single" w:color="BFBFBF" w:sz="1"/>
              <w:left w:val="single" w:color="BFBFBF" w:sz="1"/>
              <w:bottom w:val="single" w:color="BFBFBF" w:sz="1"/>
              <w:right w:val="single" w:color="BFBFBF" w:sz="1"/>
            </w:tcBorders>
            <w:tcMar>
              <w:top w:type="dxa" w:w="60"/>
              <w:left w:type="dxa" w:w="100"/>
              <w:bottom w:type="dxa" w:w="60"/>
              <w:right w:type="dxa" w:w="100"/>
            </w:tcMar>
          </w:tcPr>
          <w:p>
            <w:r>
              <w:t xml:space="preserve">未対応</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240"/>
      <w:outlineLvl w:val="0"/>
    </w:pPr>
    <w:rPr>
      <w:rFonts w:ascii="Yu Gothic" w:cs="Yu Gothic" w:eastAsia="Yu Gothic" w:hAnsi="Yu Gothic"/>
      <w:b/>
      <w:bCs/>
      <w:color w:val="1F3864"/>
      <w:sz w:val="28"/>
      <w:szCs w:val="28"/>
    </w:rPr>
  </w:style>
  <w:style w:type="paragraph" w:styleId="Heading2">
    <w:name w:val="Heading 2"/>
    <w:basedOn w:val="Normal"/>
    <w:next w:val="Normal"/>
    <w:qFormat/>
    <w:pPr>
      <w:spacing w:after="80" w:before="180"/>
      <w:outlineLvl w:val="1"/>
    </w:pPr>
    <w:rPr>
      <w:rFonts w:ascii="Yu Gothic" w:cs="Yu Gothic" w:eastAsia="Yu Gothic" w:hAnsi="Yu Gothic"/>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2026-06-19T05:43:04.849Z</dcterms:created>
  <dcterms:modified xsi:type="dcterms:W3CDTF">2026-06-19T05:43:04.850Z</dcterms:modified>
</cp:coreProperties>
</file>

<file path=docProps/custom.xml><?xml version="1.0" encoding="utf-8"?>
<Properties xmlns="http://schemas.openxmlformats.org/officeDocument/2006/custom-properties" xmlns:vt="http://schemas.openxmlformats.org/officeDocument/2006/docPropsVTypes"/>
</file>