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04615">
      <w:pPr>
        <w:spacing w:before="400"/>
      </w:pPr>
      <w:bookmarkStart w:id="0" w:name="_Hlk199245578"/>
      <w:bookmarkEnd w:id="0"/>
      <w:bookmarkStart w:id="1" w:name="_Toc199155609"/>
      <w:bookmarkStart w:id="2" w:name="_Toc201059819"/>
      <w:bookmarkStart w:id="3" w:name="_Toc201061889"/>
    </w:p>
    <w:p w14:paraId="075327E7">
      <w:pPr>
        <w:spacing w:after="200"/>
        <w:jc w:val="center"/>
      </w:pPr>
      <w:r>
        <w:drawing>
          <wp:inline distT="0" distB="0" distL="0" distR="0">
            <wp:extent cx="1238250" cy="1695450"/>
            <wp:effectExtent l="0" t="0" r="6350" b="635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7"/>
                    <a:srcRect/>
                    <a:stretch>
                      <a:fillRect/>
                    </a:stretch>
                  </pic:blipFill>
                  <pic:spPr>
                    <a:xfrm>
                      <a:off x="0" y="0"/>
                      <a:ext cx="1238250" cy="1695450"/>
                    </a:xfrm>
                    <a:prstGeom prst="rect">
                      <a:avLst/>
                    </a:prstGeom>
                  </pic:spPr>
                </pic:pic>
              </a:graphicData>
            </a:graphic>
          </wp:inline>
        </w:drawing>
      </w:r>
    </w:p>
    <w:p w14:paraId="4207CD74">
      <w:pPr>
        <w:spacing w:before="200" w:after="60"/>
        <w:jc w:val="center"/>
      </w:pPr>
      <w:r>
        <w:rPr>
          <w:rFonts w:ascii="Georgia" w:hAnsi="Georgia" w:eastAsia="Georgia" w:cs="Georgia"/>
          <w:b/>
          <w:bCs/>
          <w:color w:val="1A2744"/>
          <w:sz w:val="32"/>
          <w:szCs w:val="32"/>
        </w:rPr>
        <w:t>AZERBAYCAN TEXNİKİ UNİVERSİTETİ</w:t>
      </w:r>
    </w:p>
    <w:p w14:paraId="16C6FD45">
      <w:pPr>
        <w:spacing w:after="100"/>
        <w:jc w:val="center"/>
      </w:pPr>
      <w:r>
        <w:rPr>
          <w:rFonts w:ascii="Georgia" w:hAnsi="Georgia" w:eastAsia="Georgia" w:cs="Georgia"/>
          <w:b/>
          <w:bCs/>
          <w:color w:val="0D7C8C"/>
          <w:sz w:val="26"/>
          <w:szCs w:val="26"/>
        </w:rPr>
        <w:t>YÜKSEK TAHSİL İNSTİTUTU</w:t>
      </w:r>
    </w:p>
    <w:p w14:paraId="5B5980BF">
      <w:pPr>
        <w:spacing w:before="100"/>
        <w:jc w:val="center"/>
      </w:pPr>
      <w:r>
        <w:drawing>
          <wp:inline distT="0" distB="0" distL="0" distR="0">
            <wp:extent cx="2667000" cy="752475"/>
            <wp:effectExtent l="0" t="0" r="0" b="952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a:picLocks noChangeAspect="1" noChangeArrowheads="1"/>
                    </pic:cNvPicPr>
                  </pic:nvPicPr>
                  <pic:blipFill>
                    <a:blip r:embed="rId8"/>
                    <a:srcRect/>
                    <a:stretch>
                      <a:fillRect/>
                    </a:stretch>
                  </pic:blipFill>
                  <pic:spPr>
                    <a:xfrm>
                      <a:off x="0" y="0"/>
                      <a:ext cx="2667000" cy="752475"/>
                    </a:xfrm>
                    <a:prstGeom prst="rect">
                      <a:avLst/>
                    </a:prstGeom>
                  </pic:spPr>
                </pic:pic>
              </a:graphicData>
            </a:graphic>
          </wp:inline>
        </w:drawing>
      </w:r>
    </w:p>
    <w:p w14:paraId="6744BBC5">
      <w:pPr>
        <w:spacing w:before="400" w:after="20"/>
        <w:jc w:val="center"/>
      </w:pPr>
      <w:r>
        <w:rPr>
          <w:color w:val="D4A843"/>
          <w:sz w:val="20"/>
          <w:szCs w:val="20"/>
        </w:rPr>
        <w:t>━━━━━━━━━━━━━━━━━━━━━━━━━━━━━━</w:t>
      </w:r>
    </w:p>
    <w:p w14:paraId="23D99BA9">
      <w:pPr>
        <w:spacing w:before="200" w:after="80"/>
        <w:jc w:val="center"/>
      </w:pPr>
      <w:r>
        <w:rPr>
          <w:rFonts w:ascii="Georgia" w:hAnsi="Georgia" w:eastAsia="Georgia" w:cs="Georgia"/>
          <w:b/>
          <w:bCs/>
          <w:color w:val="1A2744"/>
          <w:sz w:val="36"/>
          <w:szCs w:val="36"/>
        </w:rPr>
        <w:t>AKADEMİK YAZIM VE ETİK</w:t>
      </w:r>
    </w:p>
    <w:p w14:paraId="3F219DD5">
      <w:pPr>
        <w:spacing w:before="20" w:after="200"/>
        <w:jc w:val="center"/>
      </w:pPr>
      <w:r>
        <w:rPr>
          <w:color w:val="D4A843"/>
          <w:sz w:val="20"/>
          <w:szCs w:val="20"/>
        </w:rPr>
        <w:t>━━━━━━━━━━━━━━━━━━━━━━━━━━━━━━</w:t>
      </w:r>
    </w:p>
    <w:p w14:paraId="5EECC2B8">
      <w:pPr>
        <w:spacing w:before="100" w:after="40"/>
        <w:jc w:val="center"/>
        <w:rPr>
          <w:rFonts w:hint="default"/>
          <w:lang w:val="en-US"/>
        </w:rPr>
      </w:pPr>
      <w:r>
        <w:rPr>
          <w:b/>
          <w:bCs/>
          <w:color w:val="0D7C8C"/>
          <w:sz w:val="28"/>
          <w:szCs w:val="28"/>
        </w:rPr>
        <w:t xml:space="preserve">ÖDEV </w:t>
      </w:r>
      <w:r>
        <w:rPr>
          <w:rFonts w:hint="default"/>
          <w:b/>
          <w:bCs/>
          <w:color w:val="0D7C8C"/>
          <w:sz w:val="28"/>
          <w:szCs w:val="28"/>
          <w:lang w:val="en-US"/>
        </w:rPr>
        <w:t>VIZE</w:t>
      </w:r>
    </w:p>
    <w:tbl>
      <w:tblPr>
        <w:tblStyle w:val="12"/>
        <w:tblW w:w="5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tblGrid>
      <w:tr w14:paraId="39BCB414">
        <w:tc>
          <w:tcPr>
            <w:tcW w:w="2400" w:type="dxa"/>
            <w:tcBorders>
              <w:top w:val="nil"/>
              <w:left w:val="nil"/>
              <w:bottom w:val="nil"/>
              <w:right w:val="nil"/>
            </w:tcBorders>
            <w:tcMar>
              <w:top w:w="40" w:type="dxa"/>
              <w:left w:w="200" w:type="dxa"/>
              <w:bottom w:w="40" w:type="dxa"/>
              <w:right w:w="80" w:type="dxa"/>
            </w:tcMar>
          </w:tcPr>
          <w:p w14:paraId="1BB90FC9">
            <w:pPr>
              <w:jc w:val="center"/>
            </w:pPr>
            <w:r>
              <w:rPr>
                <w:color w:val="666666"/>
                <w:sz w:val="20"/>
                <w:szCs w:val="20"/>
              </w:rPr>
              <w:t>Adı Soyadı:</w:t>
            </w:r>
          </w:p>
        </w:tc>
        <w:tc>
          <w:tcPr>
            <w:tcW w:w="3000" w:type="dxa"/>
            <w:tcBorders>
              <w:top w:val="nil"/>
              <w:left w:val="nil"/>
              <w:bottom w:val="single" w:color="B0BEC5" w:sz="0" w:space="0"/>
              <w:right w:val="nil"/>
            </w:tcBorders>
            <w:tcMar>
              <w:top w:w="40" w:type="dxa"/>
              <w:left w:w="80" w:type="dxa"/>
              <w:bottom w:w="40" w:type="dxa"/>
              <w:right w:w="200" w:type="dxa"/>
            </w:tcMar>
          </w:tcPr>
          <w:p w14:paraId="4A851281">
            <w:pPr>
              <w:jc w:val="center"/>
              <w:rPr>
                <w:rFonts w:hint="default"/>
              </w:rPr>
            </w:pPr>
            <w:r>
              <w:rPr>
                <w:rFonts w:hint="default"/>
                <w:lang w:val="en-US"/>
              </w:rPr>
              <w:t>Isa M</w:t>
            </w:r>
            <w:r>
              <w:rPr>
                <w:rFonts w:hint="default"/>
              </w:rPr>
              <w:t>əmmədli</w:t>
            </w:r>
          </w:p>
        </w:tc>
      </w:tr>
      <w:tr w14:paraId="3C3F52A6">
        <w:tc>
          <w:tcPr>
            <w:tcW w:w="2400" w:type="dxa"/>
            <w:tcBorders>
              <w:top w:val="nil"/>
              <w:left w:val="nil"/>
              <w:bottom w:val="nil"/>
              <w:right w:val="nil"/>
            </w:tcBorders>
            <w:tcMar>
              <w:top w:w="40" w:type="dxa"/>
              <w:left w:w="200" w:type="dxa"/>
              <w:bottom w:w="40" w:type="dxa"/>
              <w:right w:w="80" w:type="dxa"/>
            </w:tcMar>
          </w:tcPr>
          <w:p w14:paraId="1B67E3C7">
            <w:pPr>
              <w:jc w:val="center"/>
            </w:pPr>
            <w:r>
              <w:rPr>
                <w:color w:val="666666"/>
                <w:sz w:val="20"/>
                <w:szCs w:val="20"/>
              </w:rPr>
              <w:t>Öğrenci Numarası:</w:t>
            </w:r>
          </w:p>
        </w:tc>
        <w:tc>
          <w:tcPr>
            <w:tcW w:w="3000" w:type="dxa"/>
            <w:tcBorders>
              <w:top w:val="nil"/>
              <w:left w:val="nil"/>
              <w:bottom w:val="single" w:color="B0BEC5" w:sz="0" w:space="0"/>
              <w:right w:val="nil"/>
            </w:tcBorders>
            <w:tcMar>
              <w:top w:w="40" w:type="dxa"/>
              <w:left w:w="80" w:type="dxa"/>
              <w:bottom w:w="40" w:type="dxa"/>
              <w:right w:w="200" w:type="dxa"/>
            </w:tcMar>
          </w:tcPr>
          <w:p w14:paraId="79FB41A6">
            <w:pPr>
              <w:keepNext w:val="0"/>
              <w:keepLines w:val="0"/>
              <w:widowControl/>
              <w:suppressLineNumbers w:val="0"/>
              <w:jc w:val="center"/>
              <w:rPr>
                <w:rFonts w:hint="default" w:asciiTheme="minorAscii" w:hAnsiTheme="minorAscii"/>
              </w:rPr>
            </w:pPr>
            <w:r>
              <w:rPr>
                <w:rFonts w:hint="default" w:asciiTheme="minorAscii" w:hAnsiTheme="minorAscii"/>
              </w:rPr>
              <w:t>M202505154</w:t>
            </w:r>
          </w:p>
        </w:tc>
      </w:tr>
      <w:tr w14:paraId="06C00596">
        <w:tc>
          <w:tcPr>
            <w:tcW w:w="2400" w:type="dxa"/>
            <w:tcBorders>
              <w:top w:val="nil"/>
              <w:left w:val="nil"/>
              <w:bottom w:val="nil"/>
              <w:right w:val="nil"/>
            </w:tcBorders>
            <w:tcMar>
              <w:top w:w="40" w:type="dxa"/>
              <w:left w:w="200" w:type="dxa"/>
              <w:bottom w:w="40" w:type="dxa"/>
              <w:right w:w="80" w:type="dxa"/>
            </w:tcMar>
          </w:tcPr>
          <w:p w14:paraId="57934390">
            <w:pPr>
              <w:jc w:val="center"/>
            </w:pPr>
            <w:r>
              <w:rPr>
                <w:color w:val="666666"/>
                <w:sz w:val="20"/>
                <w:szCs w:val="20"/>
              </w:rPr>
              <w:t>Tarih:</w:t>
            </w:r>
          </w:p>
        </w:tc>
        <w:tc>
          <w:tcPr>
            <w:tcW w:w="3000" w:type="dxa"/>
            <w:tcBorders>
              <w:top w:val="nil"/>
              <w:left w:val="nil"/>
              <w:bottom w:val="single" w:color="B0BEC5" w:sz="0" w:space="0"/>
              <w:right w:val="nil"/>
            </w:tcBorders>
            <w:tcMar>
              <w:top w:w="40" w:type="dxa"/>
              <w:left w:w="80" w:type="dxa"/>
              <w:bottom w:w="40" w:type="dxa"/>
              <w:right w:w="200" w:type="dxa"/>
            </w:tcMar>
          </w:tcPr>
          <w:p w14:paraId="7DB60171">
            <w:pPr>
              <w:jc w:val="center"/>
              <w:rPr>
                <w:rFonts w:hint="default"/>
              </w:rPr>
            </w:pPr>
            <w:r>
              <w:rPr>
                <w:rFonts w:hint="default"/>
                <w:lang w:val="en-US"/>
              </w:rPr>
              <w:t>3</w:t>
            </w:r>
            <w:r>
              <w:rPr>
                <w:rFonts w:hint="default"/>
              </w:rPr>
              <w:t xml:space="preserve"> </w:t>
            </w:r>
            <w:r>
              <w:rPr>
                <w:rFonts w:hint="default"/>
                <w:lang w:val="en-US"/>
              </w:rPr>
              <w:t>May</w:t>
            </w:r>
            <w:r>
              <w:rPr>
                <w:rFonts w:hint="default"/>
              </w:rPr>
              <w:t xml:space="preserve"> 2026</w:t>
            </w:r>
          </w:p>
        </w:tc>
      </w:tr>
      <w:tr w14:paraId="09D7AB42">
        <w:tc>
          <w:tcPr>
            <w:tcW w:w="2400" w:type="dxa"/>
            <w:tcBorders>
              <w:top w:val="nil"/>
              <w:left w:val="nil"/>
              <w:bottom w:val="nil"/>
              <w:right w:val="nil"/>
            </w:tcBorders>
            <w:tcMar>
              <w:top w:w="40" w:type="dxa"/>
              <w:left w:w="200" w:type="dxa"/>
              <w:bottom w:w="40" w:type="dxa"/>
              <w:right w:w="80" w:type="dxa"/>
            </w:tcMar>
          </w:tcPr>
          <w:p w14:paraId="2D758188">
            <w:pPr>
              <w:jc w:val="center"/>
            </w:pPr>
            <w:r>
              <w:rPr>
                <w:color w:val="666666"/>
                <w:sz w:val="20"/>
                <w:szCs w:val="20"/>
              </w:rPr>
              <w:t>Öğretim Elemanı:</w:t>
            </w:r>
          </w:p>
        </w:tc>
        <w:tc>
          <w:tcPr>
            <w:tcW w:w="3000" w:type="dxa"/>
            <w:tcBorders>
              <w:top w:val="nil"/>
              <w:left w:val="nil"/>
              <w:bottom w:val="nil"/>
              <w:right w:val="nil"/>
            </w:tcBorders>
            <w:tcMar>
              <w:top w:w="40" w:type="dxa"/>
              <w:left w:w="80" w:type="dxa"/>
              <w:bottom w:w="40" w:type="dxa"/>
              <w:right w:w="200" w:type="dxa"/>
            </w:tcMar>
          </w:tcPr>
          <w:p w14:paraId="160CDF32">
            <w:pPr>
              <w:jc w:val="center"/>
            </w:pPr>
            <w:r>
              <w:rPr>
                <w:b/>
                <w:bCs/>
                <w:color w:val="1A2744"/>
                <w:sz w:val="20"/>
                <w:szCs w:val="20"/>
              </w:rPr>
              <w:t>Doç. Dr. Yücel ÇETİNCEVİZ</w:t>
            </w:r>
          </w:p>
        </w:tc>
      </w:tr>
    </w:tbl>
    <w:p w14:paraId="6952FFC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Keywords:</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eastAsia="SimSun" w:cs="Times New Roman Regular"/>
          <w:kern w:val="0"/>
          <w:sz w:val="24"/>
          <w:szCs w:val="24"/>
          <w:lang w:val="en-US" w:eastAsia="zh-CN" w:bidi="ar"/>
          <w14:ligatures w14:val="standardContextual"/>
        </w:rPr>
        <w:t>floating offshore wind turbine, mooring system analysis, mooring line tension, catenary mooring system, taut leg mooring, stationkeeping systems offshore, offshore wind design standards, IEC 61400 offshore wind, floating platform dynamics, aero hydro servo elastic coupling, hydrodynamic loading offshore structures, aerodynamic thrust wind turbine, ocean current loading, wave induced forces, Morison equation offshore, JONSWAP wave spectrum, Pierson Moskowitz spectrum, irregular sea states, stochastic wave modeling, fatigue analysis offshore structures, rainflow counting method, Miner rule fatigue, structural fatigue offshore wind, mooring line fatigue damage, time domain simulation offshore, frequency domain analysis mooring</w:t>
      </w:r>
      <w:bookmarkStart w:id="6" w:name="_GoBack"/>
      <w:bookmarkEnd w:id="6"/>
      <w:r>
        <w:rPr>
          <w:rFonts w:hint="default" w:ascii="Times New Roman Regular" w:hAnsi="Times New Roman Regular" w:eastAsia="SimSun" w:cs="Times New Roman Regular"/>
          <w:kern w:val="0"/>
          <w:sz w:val="24"/>
          <w:szCs w:val="24"/>
          <w:lang w:val="en-US" w:eastAsia="zh-CN" w:bidi="ar"/>
          <w14:ligatures w14:val="standardContextual"/>
        </w:rPr>
        <w:t>, floating wind turbine stability</w:t>
      </w:r>
    </w:p>
    <w:p w14:paraId="1E61EFD6">
      <w:pPr>
        <w:rPr>
          <w:rFonts w:hint="default"/>
          <w:lang w:val="en-US"/>
        </w:rPr>
        <w:sectPr>
          <w:pgSz w:w="11906" w:h="16838"/>
          <w:pgMar w:top="1200" w:right="1440" w:bottom="1200" w:left="1440" w:header="708" w:footer="708" w:gutter="0"/>
          <w:cols w:space="708" w:num="1"/>
          <w:docGrid w:linePitch="360" w:charSpace="0"/>
        </w:sectPr>
      </w:pPr>
    </w:p>
    <w:p w14:paraId="6DEC3767">
      <w:pPr>
        <w:pStyle w:val="2"/>
        <w:spacing w:after="0"/>
        <w:jc w:val="center"/>
        <w:rPr>
          <w:rFonts w:ascii="Times New Roman" w:hAnsi="Times New Roman" w:cs="Times New Roman"/>
          <w:b/>
          <w:bCs/>
          <w:color w:val="000000" w:themeColor="text1"/>
          <w:sz w:val="28"/>
          <w:szCs w:val="28"/>
          <w:lang w:val="en-US"/>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INTRODUCTION</w:t>
      </w:r>
      <w:bookmarkEnd w:id="1"/>
      <w:bookmarkEnd w:id="2"/>
      <w:bookmarkEnd w:id="3"/>
    </w:p>
    <w:p w14:paraId="04B5D7C5">
      <w:pPr>
        <w:pStyle w:val="17"/>
        <w:keepNext w:val="0"/>
        <w:keepLines w:val="0"/>
        <w:widowControl/>
        <w:suppressLineNumbers w:val="0"/>
      </w:pPr>
      <w:r>
        <w:t>Mooring systems are essential components for ensuring the stability, station-keeping performance, and operational safety of floating offshore wind platforms deployed in deep-water environments [1], [2]. With the rapid expansion of offshore wind energy, especially in floating applications, understanding the complex interaction between environmental loading and mooring system response has become a critical aspect of structural design and reliability assessment [3], [6]. Unlike fixed-bottom structures, floating wind turbines are subjected to strongly coupled aerodynamic, hydrodynamic, and structural dynamics, which significantly influence mooring line tension behavior [5], [7].</w:t>
      </w:r>
    </w:p>
    <w:p w14:paraId="78128DDF">
      <w:pPr>
        <w:pStyle w:val="17"/>
        <w:keepNext w:val="0"/>
        <w:keepLines w:val="0"/>
        <w:widowControl/>
        <w:suppressLineNumbers w:val="0"/>
      </w:pPr>
      <w:r>
        <w:t>The dynamic response of mooring lines is primarily governed by wind-induced thrust forces, wave excitation, and ocean current effects, all of which introduce nonlinear and stochastic loading conditions [4], [12], [13]. Hydrodynamic loading on slender structures can be effectively described using the Morison equation, which remains a fundamental formulation in offshore engineering [3]. In irregular sea states, wave spectra such as Pierson–Moskowitz and JONSWAP are commonly used to represent realistic ocean conditions for design and analysis purposes [12], [13].</w:t>
      </w:r>
    </w:p>
    <w:p w14:paraId="30093568">
      <w:pPr>
        <w:pStyle w:val="17"/>
        <w:keepNext w:val="0"/>
        <w:keepLines w:val="0"/>
        <w:widowControl/>
        <w:suppressLineNumbers w:val="0"/>
      </w:pPr>
      <w:r>
        <w:t>Mooring line tension variations not only influence global platform motion but also induce cyclic stresses that contribute to fatigue damage accumulation in structural components [8], [11]. Fatigue analysis is typically performed using stress-cycle counting techniques such as rainflow counting combined with Miner’s linear damage rule, which provides an engineering approximation for cumulative damage assessment [14], [15]. Therefore, accurate prediction of tension time histories is essential for evaluating both ultimate limit states and fatigue limit states of floating wind systems [1], [10].</w:t>
      </w:r>
    </w:p>
    <w:p w14:paraId="6209B299">
      <w:pPr>
        <w:pStyle w:val="17"/>
        <w:keepNext w:val="0"/>
        <w:keepLines w:val="0"/>
        <w:widowControl/>
        <w:suppressLineNumbers w:val="0"/>
      </w:pPr>
      <w:r>
        <w:t>Advanced numerical tools and coupled aero-hydro-servo-elastic simulation frameworks have been widely adopted to capture the complex interaction between floating platforms and mooring systems [7], [18]. Time-domain simulation methods allow the generation of realistic dynamic response histories under varying environmental conditions, including operational, extreme, and survival sea states [6], [18]. Standards such as IEC 61400-3-1 and DNV recommended practices provide design requirements and safety criteria for offshore wind turbines and mooring systems [2], [19].</w:t>
      </w:r>
    </w:p>
    <w:p w14:paraId="7CD78B93">
      <w:pPr>
        <w:pStyle w:val="17"/>
        <w:keepNext w:val="0"/>
        <w:keepLines w:val="0"/>
        <w:widowControl/>
        <w:suppressLineNumbers w:val="0"/>
      </w:pPr>
      <w:r>
        <w:t>Recent studies have shown that extreme environmental conditions significantly amplify mooring line tensions and accelerate fatigue damage compared to normal operating conditions [5], [8]. Furthermore, the selection of mooring configuration, such as catenary or taut-leg systems, plays a crucial role in determining load distribution, stiffness characteristics, and overall system stability [9], [16]. International standards including ISO offshore mooring guidelines and API RP 2SK also emphasize the importance of configuration optimization and safety verification [16], [17].</w:t>
      </w:r>
    </w:p>
    <w:p w14:paraId="6E4E6A0D">
      <w:pPr>
        <w:pStyle w:val="17"/>
        <w:keepNext w:val="0"/>
        <w:keepLines w:val="0"/>
        <w:widowControl/>
        <w:suppressLineNumbers w:val="0"/>
      </w:pPr>
      <w:r>
        <w:t>In this context, this study focuses on analyzing the tension behavior of mooring lines in a floating offshore wind platform under different environmental conditions. By integrating hydrodynamic and aerodynamic load models with fatigue assessment methodologies, the study evaluates the influence of varying sea states on tension distribution and structural integrity. The results contribute to improved design optimization and enhanced reliability of floating wind mooring systems for long-term offshore energy production [1], [5], [10].</w:t>
      </w:r>
    </w:p>
    <w:p w14:paraId="7B244B3A">
      <w:pPr>
        <w:pStyle w:val="2"/>
        <w:jc w:val="center"/>
        <w:rPr>
          <w:rFonts w:ascii="Times New Roman" w:hAnsi="Times New Roman" w:cs="Times New Roman"/>
          <w:b/>
          <w:bCs/>
          <w:color w:val="000000" w:themeColor="text1"/>
          <w:sz w:val="28"/>
          <w:szCs w:val="28"/>
          <w14:textFill>
            <w14:solidFill>
              <w14:schemeClr w14:val="tx1"/>
            </w14:solidFill>
          </w14:textFill>
        </w:rPr>
      </w:pPr>
      <w:bookmarkStart w:id="4" w:name="_Toc201059863"/>
      <w:bookmarkStart w:id="5" w:name="_Toc201061933"/>
      <w:r>
        <w:rPr>
          <w:rFonts w:ascii="Times New Roman" w:hAnsi="Times New Roman" w:cs="Times New Roman"/>
          <w:b/>
          <w:bCs/>
          <w:color w:val="000000" w:themeColor="text1"/>
          <w:sz w:val="28"/>
          <w:szCs w:val="28"/>
          <w14:textFill>
            <w14:solidFill>
              <w14:schemeClr w14:val="tx1"/>
            </w14:solidFill>
          </w14:textFill>
        </w:rPr>
        <w:t>REFERENCES</w:t>
      </w:r>
      <w:bookmarkEnd w:id="4"/>
      <w:bookmarkEnd w:id="5"/>
    </w:p>
    <w:p w14:paraId="6CE2FB74">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 API., API 2SK: Design and analysis of stationkeeping systems for floating structures. American Petroleum Institute, 2005.</w:t>
      </w:r>
    </w:p>
    <w:p w14:paraId="15C52346">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[2] M. Brommundt, L. Krause, K. Merz, and M. Muskulus, “Mooring system optimization for floating wind turbines using frequency domain analysis,” Energy Procedia, vol. 24, pp. 289–296, 2012.</w:t>
      </w:r>
    </w:p>
    <w:p w14:paraId="1D5538FB">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[3] S. Butterfield, W. Musial, J. Jonkman, and P. Sclavounos, “Engineering challenges for floating offshore wind turbines,” National Renewable Energy Laboratory (NREL), Golden, CO., 2007. Accessed: May 03, 2026. [Online]. Available: https://docs.nlr.gov/docs/fy07osti/38776.pdf</w:t>
      </w:r>
    </w:p>
    <w:p w14:paraId="7ECB30EA">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[4] A. Cordle and J. Jonkman, “State of the art in floating wind turbine design tools,” in ISOPE International Ocean and Polar Engineering Conference, ISOPE, 2011, p. ISOPE-I. Accessed: May 03, 2026. [Online]. Available: https://onepetro.org/ISOPEIOPEC/proceedings-abstract/ISOPE11/All-ISOPE11/ISOPE-I-11-112/13289</w:t>
      </w:r>
    </w:p>
    <w:p w14:paraId="435167C9">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[5] G. L. Dnv, “Recommended practice DNVGL-RP-C205: Environmental conditions and environmental loads,” Edition August, 2017.</w:t>
      </w:r>
    </w:p>
    <w:p w14:paraId="4F9483C1">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[6] S. D. Downing and D. F. Socie, “Simple rainflow counting algorithms,” International journal of fatigue, vol. 4, no. 1, pp. 31–40, 1982.</w:t>
      </w:r>
    </w:p>
    <w:p w14:paraId="5DF270E0">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[7] W. Fricke, IIW recommendations for the fatigue assessment of welded structures by notch stress analysis: IIW-2006-09. Woodhead Publishing, 2012. Accessed: May 03, 2026. [Online]. Available: https://books.google.com/books?hl=en&amp;lr=&amp;id=8WSLAwAAQBAJ&amp;oi=fnd&amp;pg=PP6&amp;dq=IIW,+Fatigue+Design+Guidelines+for+Structural+Details,+2012.&amp;ots=Ws4sJjNlcg&amp;sig=8PPbkHkh14300igtnEs5JFeeDJg</w:t>
      </w:r>
    </w:p>
    <w:p w14:paraId="246FBCFA">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[8] F. Gao, L. Wang, B. Yeter, and A. Kolios, “Comparative Analysis of Design Standards for Floating Offshore Wind Turbine Mooring Systems: A Focus on Line Tension Safety Factors,” Journal of Marine Science and Engineering, vol. 13, no. 11, p. 2170, 2025.</w:t>
      </w:r>
    </w:p>
    <w:p w14:paraId="52364D28">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[9] K. Hasselmann et al., “Measurements of wind-wave growth and swell decay during the Joint North Sea Wave Project (JONSWAP).,” Ergaenzungsheft zur Deutschen Hydrographischen Zeitschrift, Reihe A, 1973, Accessed: May 03, 2026. [Online]. Available: https://pure.mpg.de/pubman/faces/ViewItemOverviewPage.jsp?itemId=item_3262854</w:t>
      </w:r>
    </w:p>
    <w:p w14:paraId="154B4887">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[10] H. IEC, “Wind energy generation systems—Part 3-2: Design requirements for floating offshore wind turbines,” Wind Energy Gener. Syst., 2019.</w:t>
      </w:r>
    </w:p>
    <w:p w14:paraId="7B0F0C39">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[11] J. M. Jonkman and M. L. Buhl Jr, “FAST user’s guide Tech. Rep,” National Renewable Energy Laboratory, vol. 28, 2005.</w:t>
      </w:r>
    </w:p>
    <w:p w14:paraId="3668BBFC">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[12] J. Jonkman, S. Butterfield, W. Musial, and G. Scott, “Definition of a 5-MW reference wind turbine for offshore system development,” National Renewable Energy Laboratory (NREL), Golden, CO., 2009. Accessed: May 03, 2026. [Online]. Available: http://pop.h-cdn.co/assets/cm/15/06/54d150362c903_-_38060.pdf</w:t>
      </w:r>
    </w:p>
    <w:p w14:paraId="01544463">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[13] Y. Kang and S. Lee, “Wake effect on floating offshore wind turbine fatigue load,” Physics of Fluids, vol. 36, no. 12, 2024, Accessed: May 03, 2026. [Online]. Available: https://pubs.aip.org/aip/pof/article/36/12/125176/3326087</w:t>
      </w:r>
    </w:p>
    <w:p w14:paraId="622BBCDF">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[14] T. P. Mazarakos, “Comparison of second-order wave loads on a floating cylinder WEC between NEMOH and ANSYS AQWA,” in Innovations in the Analysis and Design of Marine Structures, CRC Press, 2025, pp. 3–11. Accessed: May 03, 2026. [Online]. Available: https://www.taylorfrancis.com/chapters/edit/10.1201/9781003642411-1/comparison-second-order-wave-loads-floating-cylinder-wec-nemoh-ansys-aqwa-mazarakos</w:t>
      </w:r>
    </w:p>
    <w:p w14:paraId="07D487AA">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[15] M. A. Miner, “Cumulative damage in fatigue,” 1945, Accessed: May 03, 2026. [Online]. Available: https://asmedigitalcollection.asme.org/appliedmechanics/article-abstract/12/3/A159/384665</w:t>
      </w:r>
    </w:p>
    <w:p w14:paraId="4D777B9B">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[16] J. R. Morison, J. W. Johnson, and S. A. Schaaf, “The force exerted by surface waves on piles,” Journal of Petroleum Technology, vol. 2, no. 05, pp. 149–154, 1950.</w:t>
      </w:r>
    </w:p>
    <w:p w14:paraId="7BE75DF4">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[17] W. J. Pierson and L. Moskowitz, “A proposed spectral form for fully developed wind seas based on the similarity theory of S. A. Kitaigorodskii,” J. Geophys. Res., vol. 69, no. 24, pp. 5181–5190, Dec. 1964, doi: 10.1029/JZ069i024p05181.</w:t>
      </w:r>
    </w:p>
    <w:p w14:paraId="373C56A1">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[18] D. Qiao et al., “Dynamic response analysis of a fully coupled aerodynamic-hydrodynamic-mooring-anchor floating offshore wind turbine,” Ocean Engineering, vol. 312, p. 119085, 2024.</w:t>
      </w:r>
    </w:p>
    <w:p w14:paraId="43B77FD2">
      <w:pPr>
        <w:keepNext w:val="0"/>
        <w:keepLines w:val="0"/>
        <w:widowControl/>
        <w:suppressLineNumbers w:val="0"/>
        <w:jc w:val="left"/>
        <w:rPr>
          <w:rFonts w:hint="default" w:ascii="Times New Roman" w:hAnsi="Times New Roman"/>
          <w:sz w:val="28"/>
          <w:szCs w:val="28"/>
        </w:rPr>
      </w:pPr>
      <w:r>
        <w:rPr>
          <w:rFonts w:hint="default" w:ascii="Times New Roman" w:hAnsi="Times New Roman"/>
          <w:sz w:val="28"/>
          <w:szCs w:val="28"/>
        </w:rPr>
        <w:t>[19] T. Sarpkaya, Wave forces on offshore structures. Cambridge university press, 2010. Accessed: May 03, 2026. [Online]. Available: https://books.google.com/books?hl=en&amp;lr=&amp;id=yjCUUP5I3Y8C&amp;oi=fnd&amp;pg=PR11&amp;dq=T.+Sarpkaya,+Wave+Forces+on+Offshore+Structures,+2004.&amp;ots=6i1iVdLe-m&amp;sig=gh-k4heGKTzomuqnDzvZxGnQ3Zo</w:t>
      </w:r>
    </w:p>
    <w:p w14:paraId="3F618B05">
      <w:pPr>
        <w:keepNext w:val="0"/>
        <w:keepLines w:val="0"/>
        <w:widowControl/>
        <w:suppressLineNumbers w:val="0"/>
        <w:jc w:val="left"/>
        <w:rPr>
          <w:rFonts w:ascii="Times New Roman" w:hAnsi="Times New Roman" w:cs="Times New Roman"/>
          <w:sz w:val="28"/>
          <w:szCs w:val="28"/>
        </w:rPr>
      </w:pPr>
      <w:r>
        <w:rPr>
          <w:rFonts w:hint="default" w:ascii="Times New Roman" w:hAnsi="Times New Roman"/>
          <w:sz w:val="28"/>
          <w:szCs w:val="28"/>
        </w:rPr>
        <w:t>[20] D. Smith, “ISO 19901-1 PETROLEUM AND NATURAL GAS INDUSTRIES—SPECIFIC REQUIREMENTS FOR OFFSHORE STRUCTURES—PART 1: METOCEAN DESIGN AND OPERATING CONSIDERATIONS”, Accessed: May 03, 2026. [Online]. Available: https://asmedigitalcollection.asme.org/book/chapter-pdf/6918745/885789_ch16.pdf</w:t>
      </w:r>
    </w:p>
    <w:sectPr>
      <w:headerReference r:id="rId5" w:type="default"/>
      <w:pgSz w:w="11906" w:h="16838"/>
      <w:pgMar w:top="1418" w:right="567"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0000000000000000000"/>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Cambria Math">
    <w:altName w:val="Kingsoft Math"/>
    <w:panose1 w:val="02040503050406030204"/>
    <w:charset w:val="A2"/>
    <w:family w:val="roman"/>
    <w:pitch w:val="default"/>
    <w:sig w:usb0="00000000" w:usb1="00000000" w:usb2="02000000" w:usb3="00000000" w:csb0="0000019F" w:csb1="00000000"/>
  </w:font>
  <w:font w:name="Courier New">
    <w:panose1 w:val="02070609020205020404"/>
    <w:charset w:val="A2"/>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GB">
    <w:panose1 w:val="020B0300000000000000"/>
    <w:charset w:val="86"/>
    <w:family w:val="auto"/>
    <w:pitch w:val="default"/>
    <w:sig w:usb0="A00002BF" w:usb1="1ACF7CFA" w:usb2="00000016" w:usb3="00000000" w:csb0="00060007"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Apple Symbols">
    <w:panose1 w:val="02000000000000000000"/>
    <w:charset w:val="00"/>
    <w:family w:val="auto"/>
    <w:pitch w:val="default"/>
    <w:sig w:usb0="800000A3" w:usb1="08007BEB" w:usb2="01840034" w:usb3="0000A268" w:csb0="200001FB" w:csb1="DDFF0000"/>
  </w:font>
  <w:font w:name="Kingsoft Sign">
    <w:panose1 w:val="05050102010706020507"/>
    <w:charset w:val="00"/>
    <w:family w:val="auto"/>
    <w:pitch w:val="default"/>
    <w:sig w:usb0="00000000" w:usb1="10000000" w:usb2="00000000" w:usb3="00000000" w:csb0="00000001" w:csb1="00000000"/>
  </w:font>
  <w:font w:name="SimSun">
    <w:altName w:val="宋体-简"/>
    <w:panose1 w:val="02010600030101010101"/>
    <w:charset w:val="86"/>
    <w:family w:val="roman"/>
    <w:pitch w:val="variable"/>
    <w:sig w:usb0="00000003" w:usb1="288F0000" w:usb2="00000016" w:usb3="00000000" w:csb0="00040001" w:csb1="00000000"/>
  </w:font>
  <w:font w:name="苹方-简">
    <w:panose1 w:val="020B0400000000000000"/>
    <w:charset w:val="86"/>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Georgia">
    <w:panose1 w:val="02040502050405090303"/>
    <w:charset w:val="A2"/>
    <w:family w:val="roman"/>
    <w:pitch w:val="default"/>
    <w:sig w:usb0="00000287" w:usb1="00000000" w:usb2="00000000" w:usb3="00000000" w:csb0="2000009F" w:csb1="0000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89247489"/>
      <w:docPartObj>
        <w:docPartGallery w:val="AutoText"/>
      </w:docPartObj>
    </w:sdtPr>
    <w:sdtContent>
      <w:p w14:paraId="1763A649">
        <w:pPr>
          <w:pStyle w:val="15"/>
          <w:jc w:val="right"/>
        </w:pPr>
        <w:r>
          <w:fldChar w:fldCharType="begin"/>
        </w:r>
        <w:r>
          <w:instrText xml:space="preserve"> PAGE   \* MERGEFORMAT </w:instrText>
        </w:r>
        <w:r>
          <w:fldChar w:fldCharType="separate"/>
        </w:r>
        <w:r>
          <w:t>2</w:t>
        </w:r>
        <w:r>
          <w:fldChar w:fldCharType="end"/>
        </w:r>
      </w:p>
    </w:sdtContent>
  </w:sdt>
  <w:p w14:paraId="4C8900A6">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09"/>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8A2"/>
    <w:rsid w:val="00003AA6"/>
    <w:rsid w:val="00010577"/>
    <w:rsid w:val="000334EA"/>
    <w:rsid w:val="000A3782"/>
    <w:rsid w:val="000C63FC"/>
    <w:rsid w:val="000D5B56"/>
    <w:rsid w:val="000D7CC5"/>
    <w:rsid w:val="000F0794"/>
    <w:rsid w:val="00132C1E"/>
    <w:rsid w:val="001359EF"/>
    <w:rsid w:val="00156444"/>
    <w:rsid w:val="0019553E"/>
    <w:rsid w:val="001D4F25"/>
    <w:rsid w:val="00212623"/>
    <w:rsid w:val="0021709E"/>
    <w:rsid w:val="0021794B"/>
    <w:rsid w:val="00244C13"/>
    <w:rsid w:val="00266A78"/>
    <w:rsid w:val="0027530D"/>
    <w:rsid w:val="00280186"/>
    <w:rsid w:val="002C4447"/>
    <w:rsid w:val="002D4501"/>
    <w:rsid w:val="002F73C0"/>
    <w:rsid w:val="00337AE6"/>
    <w:rsid w:val="00360C9A"/>
    <w:rsid w:val="003D20D1"/>
    <w:rsid w:val="003E5029"/>
    <w:rsid w:val="004150EA"/>
    <w:rsid w:val="00425CA8"/>
    <w:rsid w:val="00456F2C"/>
    <w:rsid w:val="0049014C"/>
    <w:rsid w:val="004A73E8"/>
    <w:rsid w:val="004B6F53"/>
    <w:rsid w:val="004C60D3"/>
    <w:rsid w:val="00560691"/>
    <w:rsid w:val="005668AB"/>
    <w:rsid w:val="0057095F"/>
    <w:rsid w:val="00583299"/>
    <w:rsid w:val="005F4558"/>
    <w:rsid w:val="00632FE8"/>
    <w:rsid w:val="00673BDB"/>
    <w:rsid w:val="00683C76"/>
    <w:rsid w:val="006D1972"/>
    <w:rsid w:val="006E2396"/>
    <w:rsid w:val="00702733"/>
    <w:rsid w:val="007153EA"/>
    <w:rsid w:val="00732FEB"/>
    <w:rsid w:val="007460A2"/>
    <w:rsid w:val="00762CDB"/>
    <w:rsid w:val="0077578D"/>
    <w:rsid w:val="00793D5E"/>
    <w:rsid w:val="007B6CB5"/>
    <w:rsid w:val="007C6F85"/>
    <w:rsid w:val="008217EC"/>
    <w:rsid w:val="008319C0"/>
    <w:rsid w:val="00836CEE"/>
    <w:rsid w:val="0084078B"/>
    <w:rsid w:val="00847BEE"/>
    <w:rsid w:val="0088563F"/>
    <w:rsid w:val="00894D53"/>
    <w:rsid w:val="008F6591"/>
    <w:rsid w:val="00936F13"/>
    <w:rsid w:val="00997EA8"/>
    <w:rsid w:val="009B3F28"/>
    <w:rsid w:val="009D18BE"/>
    <w:rsid w:val="00A15016"/>
    <w:rsid w:val="00A66A44"/>
    <w:rsid w:val="00AD1E85"/>
    <w:rsid w:val="00AD5A9D"/>
    <w:rsid w:val="00B11CE5"/>
    <w:rsid w:val="00B1205C"/>
    <w:rsid w:val="00B35D63"/>
    <w:rsid w:val="00B82522"/>
    <w:rsid w:val="00B87AAF"/>
    <w:rsid w:val="00B901E4"/>
    <w:rsid w:val="00B94E5B"/>
    <w:rsid w:val="00BD1A00"/>
    <w:rsid w:val="00BD1C35"/>
    <w:rsid w:val="00BF3261"/>
    <w:rsid w:val="00C010A6"/>
    <w:rsid w:val="00C164D6"/>
    <w:rsid w:val="00C706F6"/>
    <w:rsid w:val="00C90619"/>
    <w:rsid w:val="00CC5695"/>
    <w:rsid w:val="00CD0AD2"/>
    <w:rsid w:val="00D5584A"/>
    <w:rsid w:val="00D678A2"/>
    <w:rsid w:val="00D766D0"/>
    <w:rsid w:val="00DA4007"/>
    <w:rsid w:val="00DB1079"/>
    <w:rsid w:val="00DF36F3"/>
    <w:rsid w:val="00DF6580"/>
    <w:rsid w:val="00E05EB2"/>
    <w:rsid w:val="00E25917"/>
    <w:rsid w:val="00E269AA"/>
    <w:rsid w:val="00E7439C"/>
    <w:rsid w:val="00E75DF9"/>
    <w:rsid w:val="00E819A9"/>
    <w:rsid w:val="00E86D3B"/>
    <w:rsid w:val="00E91390"/>
    <w:rsid w:val="00EB7C18"/>
    <w:rsid w:val="00EC7241"/>
    <w:rsid w:val="00ED2E75"/>
    <w:rsid w:val="00ED7E1F"/>
    <w:rsid w:val="00F17FED"/>
    <w:rsid w:val="00F71BD4"/>
    <w:rsid w:val="00F72DF8"/>
    <w:rsid w:val="00F81448"/>
    <w:rsid w:val="00F87A71"/>
    <w:rsid w:val="00F91754"/>
    <w:rsid w:val="00FC57DB"/>
    <w:rsid w:val="D7E3B627"/>
    <w:rsid w:val="FEFDAA17"/>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20" w:line="360" w:lineRule="auto"/>
    </w:pPr>
    <w:rPr>
      <w:rFonts w:asciiTheme="minorHAnsi" w:hAnsiTheme="minorHAnsi" w:eastAsiaTheme="minorHAnsi" w:cstheme="minorBidi"/>
      <w:kern w:val="2"/>
      <w:sz w:val="24"/>
      <w:szCs w:val="24"/>
      <w:lang w:val="tr-TR" w:eastAsia="en-US" w:bidi="ar-S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llowedHyperlink"/>
    <w:basedOn w:val="11"/>
    <w:semiHidden/>
    <w:unhideWhenUsed/>
    <w:uiPriority w:val="99"/>
    <w:rPr>
      <w:color w:val="96607D" w:themeColor="followedHyperlink"/>
      <w:u w:val="single"/>
      <w14:textFill>
        <w14:solidFill>
          <w14:schemeClr w14:val="folHlink"/>
        </w14:solidFill>
      </w14:textFill>
    </w:rPr>
  </w:style>
  <w:style w:type="paragraph" w:styleId="14">
    <w:name w:val="footer"/>
    <w:basedOn w:val="1"/>
    <w:link w:val="46"/>
    <w:unhideWhenUsed/>
    <w:uiPriority w:val="99"/>
    <w:pPr>
      <w:tabs>
        <w:tab w:val="center" w:pos="4536"/>
        <w:tab w:val="right" w:pos="9072"/>
      </w:tabs>
      <w:spacing w:after="0" w:line="240" w:lineRule="auto"/>
    </w:pPr>
  </w:style>
  <w:style w:type="paragraph" w:styleId="15">
    <w:name w:val="header"/>
    <w:basedOn w:val="1"/>
    <w:link w:val="45"/>
    <w:unhideWhenUsed/>
    <w:uiPriority w:val="99"/>
    <w:pPr>
      <w:tabs>
        <w:tab w:val="center" w:pos="4536"/>
        <w:tab w:val="right" w:pos="9072"/>
      </w:tabs>
      <w:spacing w:after="0" w:line="240" w:lineRule="auto"/>
    </w:pPr>
  </w:style>
  <w:style w:type="character" w:styleId="16">
    <w:name w:val="Hyperlink"/>
    <w:basedOn w:val="11"/>
    <w:unhideWhenUsed/>
    <w:uiPriority w:val="99"/>
    <w:rPr>
      <w:color w:val="467886" w:themeColor="hyperlink"/>
      <w:u w:val="single"/>
      <w14:textFill>
        <w14:solidFill>
          <w14:schemeClr w14:val="hlink"/>
        </w14:solidFill>
      </w14:textFill>
    </w:rPr>
  </w:style>
  <w:style w:type="paragraph" w:styleId="17">
    <w:name w:val="Normal (Web)"/>
    <w:basedOn w:val="1"/>
    <w:semiHidden/>
    <w:unhideWhenUsed/>
    <w:uiPriority w:val="99"/>
    <w:rPr>
      <w:rFonts w:ascii="Times New Roman" w:hAnsi="Times New Roman" w:cs="Times New Roman"/>
    </w:rPr>
  </w:style>
  <w:style w:type="character" w:styleId="18">
    <w:name w:val="Strong"/>
    <w:basedOn w:val="11"/>
    <w:qFormat/>
    <w:uiPriority w:val="22"/>
    <w:rPr>
      <w:b/>
      <w:bCs/>
    </w:r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autoRedefine/>
    <w:unhideWhenUsed/>
    <w:uiPriority w:val="39"/>
    <w:pPr>
      <w:spacing w:after="100"/>
    </w:pPr>
  </w:style>
  <w:style w:type="paragraph" w:styleId="23">
    <w:name w:val="toc 2"/>
    <w:basedOn w:val="1"/>
    <w:next w:val="1"/>
    <w:autoRedefine/>
    <w:unhideWhenUsed/>
    <w:uiPriority w:val="39"/>
    <w:pPr>
      <w:spacing w:after="100"/>
      <w:ind w:left="240"/>
    </w:pPr>
  </w:style>
  <w:style w:type="paragraph" w:styleId="24">
    <w:name w:val="toc 3"/>
    <w:basedOn w:val="1"/>
    <w:next w:val="1"/>
    <w:autoRedefine/>
    <w:unhideWhenUsed/>
    <w:uiPriority w:val="39"/>
    <w:pPr>
      <w:spacing w:after="100"/>
      <w:ind w:left="480"/>
    </w:pPr>
  </w:style>
  <w:style w:type="character" w:customStyle="1" w:styleId="2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uiPriority w:val="9"/>
    <w:rPr>
      <w:rFonts w:eastAsiaTheme="majorEastAsia" w:cstheme="majorBidi"/>
      <w:color w:val="104862" w:themeColor="accent1" w:themeShade="BF"/>
      <w:sz w:val="28"/>
      <w:szCs w:val="28"/>
    </w:rPr>
  </w:style>
  <w:style w:type="character" w:customStyle="1" w:styleId="28">
    <w:name w:val="Heading 4 Char"/>
    <w:basedOn w:val="11"/>
    <w:link w:val="5"/>
    <w:uiPriority w:val="9"/>
    <w:rPr>
      <w:rFonts w:eastAsiaTheme="majorEastAsia" w:cstheme="majorBidi"/>
      <w:i/>
      <w:iCs/>
      <w:color w:val="104862" w:themeColor="accent1" w:themeShade="BF"/>
    </w:rPr>
  </w:style>
  <w:style w:type="character" w:customStyle="1" w:styleId="29">
    <w:name w:val="Heading 5 Char"/>
    <w:basedOn w:val="11"/>
    <w:link w:val="6"/>
    <w:semiHidden/>
    <w:uiPriority w:val="9"/>
    <w:rPr>
      <w:rFonts w:eastAsiaTheme="majorEastAsia" w:cstheme="majorBidi"/>
      <w:color w:val="104862" w:themeColor="accent1" w:themeShade="BF"/>
    </w:rPr>
  </w:style>
  <w:style w:type="character" w:customStyle="1" w:styleId="3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19"/>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Unresolved Mention"/>
    <w:basedOn w:val="11"/>
    <w:semiHidden/>
    <w:unhideWhenUsed/>
    <w:uiPriority w:val="99"/>
    <w:rPr>
      <w:color w:val="605E5C"/>
      <w:shd w:val="clear" w:color="auto" w:fill="E1DFDD"/>
    </w:rPr>
  </w:style>
  <w:style w:type="character" w:styleId="44">
    <w:name w:val="Placeholder Text"/>
    <w:basedOn w:val="11"/>
    <w:semiHidden/>
    <w:uiPriority w:val="99"/>
    <w:rPr>
      <w:color w:val="666666"/>
    </w:rPr>
  </w:style>
  <w:style w:type="character" w:customStyle="1" w:styleId="45">
    <w:name w:val="Header Char"/>
    <w:basedOn w:val="11"/>
    <w:link w:val="15"/>
    <w:uiPriority w:val="99"/>
  </w:style>
  <w:style w:type="character" w:customStyle="1" w:styleId="46">
    <w:name w:val="Footer Char"/>
    <w:basedOn w:val="11"/>
    <w:link w:val="14"/>
    <w:uiPriority w:val="99"/>
  </w:style>
  <w:style w:type="character" w:customStyle="1" w:styleId="47">
    <w:name w:val="katex-mathml"/>
    <w:basedOn w:val="11"/>
    <w:uiPriority w:val="0"/>
  </w:style>
  <w:style w:type="character" w:customStyle="1" w:styleId="48">
    <w:name w:val="mord"/>
    <w:basedOn w:val="11"/>
    <w:uiPriority w:val="0"/>
  </w:style>
  <w:style w:type="character" w:customStyle="1" w:styleId="49">
    <w:name w:val="mbin"/>
    <w:basedOn w:val="11"/>
    <w:uiPriority w:val="0"/>
  </w:style>
  <w:style w:type="character" w:customStyle="1" w:styleId="50">
    <w:name w:val="vlist-s"/>
    <w:basedOn w:val="11"/>
    <w:uiPriority w:val="0"/>
  </w:style>
  <w:style w:type="character" w:customStyle="1" w:styleId="51">
    <w:name w:val="mrel"/>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47F2D3FF-4F08-439F-8105-BC18E1F81EA4}">
  <ds:schemaRefs/>
</ds:datastoreItem>
</file>

<file path=docProps/app.xml><?xml version="1.0" encoding="utf-8"?>
<Properties xmlns="http://schemas.openxmlformats.org/officeDocument/2006/extended-properties" xmlns:vt="http://schemas.openxmlformats.org/officeDocument/2006/docPropsVTypes">
  <Template>Normal.dotm</Template>
  <Pages>6</Pages>
  <Words>8900</Words>
  <Characters>50731</Characters>
  <Lines>422</Lines>
  <Paragraphs>119</Paragraphs>
  <TotalTime>4</TotalTime>
  <ScaleCrop>false</ScaleCrop>
  <LinksUpToDate>false</LinksUpToDate>
  <CharactersWithSpaces>59512</CharactersWithSpaces>
  <Application>WPS Office_12.1.23135.23135_F1E327BC-269C-435d-A152-05C5408002CA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2025-06-17T14:11:00Z</dcterms:created>
  <dc:creator>Mamedli Isa Huseyn</dc:creator>
  <cp:lastModifiedBy>isaaholic</cp:lastModifiedBy>
  <cp:lastPrinted>2025-06-18T00:43:00Z</cp:lastPrinted>
  <dcterms:modified xsi:type="dcterms:W3CDTF">2026-05-03T23:14:27Z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D7F35B213F254B3EE39CF7692D431B83_42</vt:lpwstr>
  </property>
</Properties>
</file>