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таблицы-статьи-1"/>
    <w:p>
      <w:pPr>
        <w:pStyle w:val="Title"/>
      </w:pPr>
      <w:r>
        <w:rPr>
          <w:color w:val="000000"/>
        </w:rPr>
        <w:t xml:space="preserve">Таблицы статьи 1</w:t>
      </w:r>
    </w:p>
    <w:p>
      <w:pPr>
        <w:pStyle w:val="FirstParagraph"/>
      </w:pPr>
      <w:r>
        <w:t xml:space="preserve">Русские рабочие данные и примечания для автора. Версия v2 C-primary. Заголовки для подачи автор формулирует самостоятельно.</w:t>
      </w:r>
    </w:p>
    <w:bookmarkStart w:id="9" w:name="X28d7882cc7b2a992063ae6c7aa241008c6f0572"/>
    <w:p>
      <w:pPr>
        <w:pStyle w:val="Heading2"/>
        <w:pageBreakBefore w:val="0"/>
      </w:pPr>
      <w:r>
        <w:rPr>
          <w:color w:val="000000"/>
        </w:rPr>
        <w:t xml:space="preserve">Table I · Проверяемые компоненты и наблюдаемая судьба обязательств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36"/>
        <w:gridCol w:w="2765"/>
        <w:gridCol w:w="1584"/>
        <w:gridCol w:w="1584"/>
        <w:gridCol w:w="1584"/>
        <w:gridCol w:w="1584"/>
      </w:tblGrid>
      <w:tr>
        <w:trPr>
          <w:tblHeader w:val="on"/>
          <w:cantSplit/>
          <w:tblHeader/>
        </w:trPr>
        <w:tc>
          <w:tcPr>
            <w:tcW w:type="dxa" w:w="936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b/>
                <w:sz w:val="19"/>
              </w:rPr>
              <w:t xml:space="preserve">Панель</w:t>
            </w:r>
          </w:p>
        </w:tc>
        <w:tc>
          <w:tcPr>
            <w:tcW w:type="dxa" w:w="2765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b/>
                <w:sz w:val="19"/>
              </w:rPr>
              <w:t xml:space="preserve">Показатель</w:t>
            </w:r>
          </w:p>
        </w:tc>
        <w:tc>
          <w:tcPr>
            <w:tcW w:type="dxa" w:w="1584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b/>
                <w:sz w:val="19"/>
              </w:rPr>
              <w:t xml:space="preserve">KZ</w:t>
            </w:r>
          </w:p>
        </w:tc>
        <w:tc>
          <w:tcPr>
            <w:tcW w:type="dxa" w:w="1584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b/>
                <w:sz w:val="19"/>
              </w:rPr>
              <w:t xml:space="preserve">PL</w:t>
            </w:r>
          </w:p>
        </w:tc>
        <w:tc>
          <w:tcPr>
            <w:tcW w:type="dxa" w:w="1584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b/>
                <w:sz w:val="19"/>
              </w:rPr>
              <w:t xml:space="preserve">NL</w:t>
            </w:r>
          </w:p>
        </w:tc>
        <w:tc>
          <w:tcPr>
            <w:tcW w:type="dxa" w:w="1584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b/>
                <w:sz w:val="19"/>
              </w:rPr>
              <w:t xml:space="preserve">Всего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A</w:t>
            </w:r>
          </w:p>
        </w:tc>
        <w:tc>
          <w:tcPr>
            <w:tcW w:type="dxa" w:w="2765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Строки обязательств</w:t>
            </w:r>
          </w:p>
        </w:tc>
        <w:tc>
          <w:tcPr>
            <w:tcW w:type="dxa" w:w="1584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29</w:t>
            </w:r>
          </w:p>
        </w:tc>
        <w:tc>
          <w:tcPr>
            <w:tcW w:type="dxa" w:w="1584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30</w:t>
            </w:r>
          </w:p>
        </w:tc>
        <w:tc>
          <w:tcPr>
            <w:tcW w:type="dxa" w:w="1584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131</w:t>
            </w:r>
          </w:p>
        </w:tc>
        <w:tc>
          <w:tcPr>
            <w:tcW w:type="dxa" w:w="1584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190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A</w:t>
            </w:r>
          </w:p>
        </w:tc>
        <w:tc>
          <w:tcPr>
            <w:tcW w:type="dxa" w:w="2765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Юридические лица</w:t>
            </w:r>
          </w:p>
        </w:tc>
        <w:tc>
          <w:tcPr>
            <w:tcW w:type="dxa" w:w="1584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17</w:t>
            </w:r>
          </w:p>
        </w:tc>
        <w:tc>
          <w:tcPr>
            <w:tcW w:type="dxa" w:w="1584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13</w:t>
            </w:r>
          </w:p>
        </w:tc>
        <w:tc>
          <w:tcPr>
            <w:tcW w:type="dxa" w:w="1584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53</w:t>
            </w:r>
          </w:p>
        </w:tc>
        <w:tc>
          <w:tcPr>
            <w:tcW w:type="dxa" w:w="1584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83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A</w:t>
            </w:r>
          </w:p>
        </w:tc>
        <w:tc>
          <w:tcPr>
            <w:tcW w:type="dxa" w:w="2765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Конкретность 2</w:t>
            </w:r>
          </w:p>
        </w:tc>
        <w:tc>
          <w:tcPr>
            <w:tcW w:type="dxa" w:w="1584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12/29 (41,4%)</w:t>
            </w:r>
          </w:p>
        </w:tc>
        <w:tc>
          <w:tcPr>
            <w:tcW w:type="dxa" w:w="1584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9/30 (30,0%)</w:t>
            </w:r>
          </w:p>
        </w:tc>
        <w:tc>
          <w:tcPr>
            <w:tcW w:type="dxa" w:w="1584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68/131 (51,9%)</w:t>
            </w:r>
          </w:p>
        </w:tc>
        <w:tc>
          <w:tcPr>
            <w:tcW w:type="dxa" w:w="1584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89/190 (46,8%)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A</w:t>
            </w:r>
          </w:p>
        </w:tc>
        <w:tc>
          <w:tcPr>
            <w:tcW w:type="dxa" w:w="2765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Отмечена измеримая цель</w:t>
            </w:r>
          </w:p>
        </w:tc>
        <w:tc>
          <w:tcPr>
            <w:tcW w:type="dxa" w:w="1584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1/29 (3,4%)</w:t>
            </w:r>
          </w:p>
        </w:tc>
        <w:tc>
          <w:tcPr>
            <w:tcW w:type="dxa" w:w="1584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2/30 (6,7%)</w:t>
            </w:r>
          </w:p>
        </w:tc>
        <w:tc>
          <w:tcPr>
            <w:tcW w:type="dxa" w:w="1584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8/131 (6,1%)</w:t>
            </w:r>
          </w:p>
        </w:tc>
        <w:tc>
          <w:tcPr>
            <w:tcW w:type="dxa" w:w="1584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11/190 (5,8%)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A</w:t>
            </w:r>
          </w:p>
        </w:tc>
        <w:tc>
          <w:tcPr>
            <w:tcW w:type="dxa" w:w="2765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Отмечен срок</w:t>
            </w:r>
          </w:p>
        </w:tc>
        <w:tc>
          <w:tcPr>
            <w:tcW w:type="dxa" w:w="1584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10/29 (34,5%)</w:t>
            </w:r>
          </w:p>
        </w:tc>
        <w:tc>
          <w:tcPr>
            <w:tcW w:type="dxa" w:w="1584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3/30 (10,0%)</w:t>
            </w:r>
          </w:p>
        </w:tc>
        <w:tc>
          <w:tcPr>
            <w:tcW w:type="dxa" w:w="1584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27/131 (20,6%)</w:t>
            </w:r>
          </w:p>
        </w:tc>
        <w:tc>
          <w:tcPr>
            <w:tcW w:type="dxa" w:w="1584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40/190 (21,1%)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B</w:t>
            </w:r>
          </w:p>
        </w:tc>
        <w:tc>
          <w:tcPr>
            <w:tcW w:type="dxa" w:w="2765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Полное подтверждение</w:t>
            </w:r>
          </w:p>
        </w:tc>
        <w:tc>
          <w:tcPr>
            <w:tcW w:type="dxa" w:w="1584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7/29 (24,1%)</w:t>
            </w:r>
          </w:p>
        </w:tc>
        <w:tc>
          <w:tcPr>
            <w:tcW w:type="dxa" w:w="1584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18/30 (60,0%)</w:t>
            </w:r>
          </w:p>
        </w:tc>
        <w:tc>
          <w:tcPr>
            <w:tcW w:type="dxa" w:w="1584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55/131 (42,0%)</w:t>
            </w:r>
          </w:p>
        </w:tc>
        <w:tc>
          <w:tcPr>
            <w:tcW w:type="dxa" w:w="1584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80/190 (42,1%)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B</w:t>
            </w:r>
          </w:p>
        </w:tc>
        <w:tc>
          <w:tcPr>
            <w:tcW w:type="dxa" w:w="2765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Частичное подтверждение</w:t>
            </w:r>
          </w:p>
        </w:tc>
        <w:tc>
          <w:tcPr>
            <w:tcW w:type="dxa" w:w="1584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8/29 (27,6%)</w:t>
            </w:r>
          </w:p>
        </w:tc>
        <w:tc>
          <w:tcPr>
            <w:tcW w:type="dxa" w:w="1584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4/30 (13,3%)</w:t>
            </w:r>
          </w:p>
        </w:tc>
        <w:tc>
          <w:tcPr>
            <w:tcW w:type="dxa" w:w="1584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34/131 (26,0%)</w:t>
            </w:r>
          </w:p>
        </w:tc>
        <w:tc>
          <w:tcPr>
            <w:tcW w:type="dxa" w:w="1584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46/190 (24,2%)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B</w:t>
            </w:r>
          </w:p>
        </w:tc>
        <w:tc>
          <w:tcPr>
            <w:tcW w:type="dxa" w:w="2765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Продолжение без достаточного подтверждения</w:t>
            </w:r>
          </w:p>
        </w:tc>
        <w:tc>
          <w:tcPr>
            <w:tcW w:type="dxa" w:w="1584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10/29 (34,5%)</w:t>
            </w:r>
          </w:p>
        </w:tc>
        <w:tc>
          <w:tcPr>
            <w:tcW w:type="dxa" w:w="1584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3/30 (10,0%)</w:t>
            </w:r>
          </w:p>
        </w:tc>
        <w:tc>
          <w:tcPr>
            <w:tcW w:type="dxa" w:w="1584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28/131 (21,4%)</w:t>
            </w:r>
          </w:p>
        </w:tc>
        <w:tc>
          <w:tcPr>
            <w:tcW w:type="dxa" w:w="1584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41/190 (21,6%)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B</w:t>
            </w:r>
          </w:p>
        </w:tc>
        <w:tc>
          <w:tcPr>
            <w:tcW w:type="dxa" w:w="2765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Ненайденное продолжение</w:t>
            </w:r>
          </w:p>
        </w:tc>
        <w:tc>
          <w:tcPr>
            <w:tcW w:type="dxa" w:w="1584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4/29 (13,8%)</w:t>
            </w:r>
          </w:p>
        </w:tc>
        <w:tc>
          <w:tcPr>
            <w:tcW w:type="dxa" w:w="1584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5/30 (16,7%)</w:t>
            </w:r>
          </w:p>
        </w:tc>
        <w:tc>
          <w:tcPr>
            <w:tcW w:type="dxa" w:w="1584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14/131 (10,7%)</w:t>
            </w:r>
          </w:p>
        </w:tc>
        <w:tc>
          <w:tcPr>
            <w:tcW w:type="dxa" w:w="1584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23/190 (12,1%)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B</w:t>
            </w:r>
          </w:p>
        </w:tc>
        <w:tc>
          <w:tcPr>
            <w:tcW w:type="dxa" w:w="2765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Полное или частичное — сводка</w:t>
            </w:r>
          </w:p>
        </w:tc>
        <w:tc>
          <w:tcPr>
            <w:tcW w:type="dxa" w:w="1584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15/29 (51,7%)</w:t>
            </w:r>
          </w:p>
        </w:tc>
        <w:tc>
          <w:tcPr>
            <w:tcW w:type="dxa" w:w="1584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22/30 (73,3%)</w:t>
            </w:r>
          </w:p>
        </w:tc>
        <w:tc>
          <w:tcPr>
            <w:tcW w:type="dxa" w:w="1584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89/131 (67,9%)</w:t>
            </w:r>
          </w:p>
        </w:tc>
        <w:tc>
          <w:tcPr>
            <w:tcW w:type="dxa" w:w="1584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126/190 (66,3%)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Примечания.</w:t>
      </w:r>
      <w:r>
        <w:t xml:space="preserve"> </w:t>
      </w:r>
      <w:r>
        <w:t xml:space="preserve">Источник: F2 и предварительная модельная компонентная кодировка S. KZ — Казахстан, PL — Польша, NL — Нидерланды. Панель A: состав и компоненты; B: четыре исхода и отдельная сводка. Не суммировать сводку с исходами. У 30/40 отмеченных сроков A установил календарный год/конец окна; 10 неопределимы, четыре после 2025. Это не независимая проверка измеримых целей. Исходы относятся к доступным корпоративным самоотчётам при неодинаковых окнах; уточнённый протокол C не применялся заново ко всем 190. Округление может давать сумму, отличную от 100%.</w:t>
      </w:r>
    </w:p>
    <w:p>
      <w:r>
        <w:pict>
          <v:rect style="width:0;height:1.5pt" o:hralign="center" o:hrstd="t" o:hr="t"/>
        </w:pict>
      </w:r>
    </w:p>
    <w:bookmarkEnd w:id="9"/>
    <w:bookmarkStart w:id="12" w:name="X235df74abc6ff05ae041d804690ab361bbb41ca"/>
    <w:p>
      <w:pPr>
        <w:pStyle w:val="Heading2"/>
        <w:pageBreakBefore/>
      </w:pPr>
      <w:r>
        <w:rPr>
          <w:color w:val="000000"/>
        </w:rPr>
        <w:t xml:space="preserve">Table II · Конкретность и чувствительность связи</w:t>
      </w:r>
    </w:p>
    <w:bookmarkStart w:id="10" w:name="панель-a"/>
    <w:p>
      <w:pPr>
        <w:pStyle w:val="Heading3"/>
      </w:pPr>
      <w:r>
        <w:rPr>
          <w:color w:val="000000"/>
        </w:rPr>
        <w:t xml:space="preserve">Панель 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88"/>
        <w:gridCol w:w="979"/>
        <w:gridCol w:w="547"/>
        <w:gridCol w:w="2016"/>
        <w:gridCol w:w="2203"/>
        <w:gridCol w:w="2203"/>
      </w:tblGrid>
      <w:tr>
        <w:trPr>
          <w:tblHeader w:val="on"/>
          <w:cantSplit/>
          <w:tblHeader/>
        </w:trPr>
        <w:tc>
          <w:tcPr>
            <w:tcW w:type="dxa" w:w="2088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b/>
                <w:sz w:val="19"/>
              </w:rPr>
              <w:t xml:space="preserve">Версия</w:t>
            </w:r>
          </w:p>
        </w:tc>
        <w:tc>
          <w:tcPr>
            <w:tcW w:type="dxa" w:w="979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b/>
                <w:sz w:val="19"/>
              </w:rPr>
              <w:t xml:space="preserve">Конкретность</w:t>
            </w:r>
          </w:p>
        </w:tc>
        <w:tc>
          <w:tcPr>
            <w:tcW w:type="dxa" w:w="547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b/>
                <w:sz w:val="19"/>
              </w:rPr>
              <w:t xml:space="preserve">N</w:t>
            </w:r>
          </w:p>
        </w:tc>
        <w:tc>
          <w:tcPr>
            <w:tcW w:type="dxa" w:w="2016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b/>
                <w:sz w:val="19"/>
              </w:rPr>
              <w:t xml:space="preserve">Полное</w:t>
            </w:r>
          </w:p>
        </w:tc>
        <w:tc>
          <w:tcPr>
            <w:tcW w:type="dxa" w:w="2203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b/>
                <w:sz w:val="19"/>
              </w:rPr>
              <w:t xml:space="preserve">Полное/частичное</w:t>
            </w:r>
          </w:p>
        </w:tc>
        <w:tc>
          <w:tcPr>
            <w:tcW w:type="dxa" w:w="2203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b/>
                <w:sz w:val="19"/>
              </w:rPr>
              <w:t xml:space="preserve">Ненайденное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F2 / C-primary (основной)</w:t>
            </w:r>
          </w:p>
        </w:tc>
        <w:tc>
          <w:tcPr>
            <w:tcW w:type="dxa" w:w="979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1</w:t>
            </w:r>
          </w:p>
        </w:tc>
        <w:tc>
          <w:tcPr>
            <w:tcW w:type="dxa" w:w="547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101</w:t>
            </w:r>
          </w:p>
        </w:tc>
        <w:tc>
          <w:tcPr>
            <w:tcW w:type="dxa" w:w="2016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51/101 (50,5%)</w:t>
            </w:r>
          </w:p>
        </w:tc>
        <w:tc>
          <w:tcPr>
            <w:tcW w:type="dxa" w:w="2203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75/101 (74,3%)</w:t>
            </w:r>
          </w:p>
        </w:tc>
        <w:tc>
          <w:tcPr>
            <w:tcW w:type="dxa" w:w="2203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4/101 (4,0%)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F2 / C-primary (основной)</w:t>
            </w:r>
          </w:p>
        </w:tc>
        <w:tc>
          <w:tcPr>
            <w:tcW w:type="dxa" w:w="979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2</w:t>
            </w:r>
          </w:p>
        </w:tc>
        <w:tc>
          <w:tcPr>
            <w:tcW w:type="dxa" w:w="547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89</w:t>
            </w:r>
          </w:p>
        </w:tc>
        <w:tc>
          <w:tcPr>
            <w:tcW w:type="dxa" w:w="2016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29/89 (32,6%)</w:t>
            </w:r>
          </w:p>
        </w:tc>
        <w:tc>
          <w:tcPr>
            <w:tcW w:type="dxa" w:w="2203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51/89 (57,3%)</w:t>
            </w:r>
          </w:p>
        </w:tc>
        <w:tc>
          <w:tcPr>
            <w:tcW w:type="dxa" w:w="2203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19/89 (21,3%)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F (архивное сравнение)</w:t>
            </w:r>
          </w:p>
        </w:tc>
        <w:tc>
          <w:tcPr>
            <w:tcW w:type="dxa" w:w="979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1</w:t>
            </w:r>
          </w:p>
        </w:tc>
        <w:tc>
          <w:tcPr>
            <w:tcW w:type="dxa" w:w="547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101</w:t>
            </w:r>
          </w:p>
        </w:tc>
        <w:tc>
          <w:tcPr>
            <w:tcW w:type="dxa" w:w="2016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51/101 (50,5%)</w:t>
            </w:r>
          </w:p>
        </w:tc>
        <w:tc>
          <w:tcPr>
            <w:tcW w:type="dxa" w:w="2203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75/101 (74,3%)</w:t>
            </w:r>
          </w:p>
        </w:tc>
        <w:tc>
          <w:tcPr>
            <w:tcW w:type="dxa" w:w="2203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4/101 (4,0%)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F (архивное сравнение)</w:t>
            </w:r>
          </w:p>
        </w:tc>
        <w:tc>
          <w:tcPr>
            <w:tcW w:type="dxa" w:w="979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2</w:t>
            </w:r>
          </w:p>
        </w:tc>
        <w:tc>
          <w:tcPr>
            <w:tcW w:type="dxa" w:w="547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89</w:t>
            </w:r>
          </w:p>
        </w:tc>
        <w:tc>
          <w:tcPr>
            <w:tcW w:type="dxa" w:w="2016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29/89 (32,6%)</w:t>
            </w:r>
          </w:p>
        </w:tc>
        <w:tc>
          <w:tcPr>
            <w:tcW w:type="dxa" w:w="2203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50/89 (56,2%)</w:t>
            </w:r>
          </w:p>
        </w:tc>
        <w:tc>
          <w:tcPr>
            <w:tcW w:type="dxa" w:w="2203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20/89 (22,5%)</w:t>
            </w:r>
          </w:p>
        </w:tc>
      </w:tr>
    </w:tbl>
    <w:bookmarkEnd w:id="10"/>
    <w:bookmarkStart w:id="11" w:name="панель-b"/>
    <w:p>
      <w:pPr>
        <w:pStyle w:val="Heading3"/>
      </w:pPr>
      <w:r>
        <w:rPr>
          <w:color w:val="000000"/>
        </w:rPr>
        <w:t xml:space="preserve">Панель B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80"/>
        <w:gridCol w:w="2088"/>
        <w:gridCol w:w="1008"/>
        <w:gridCol w:w="4061"/>
      </w:tblGrid>
      <w:tr>
        <w:trPr>
          <w:tblHeader w:val="on"/>
          <w:cantSplit/>
          <w:tblHeader/>
        </w:trPr>
        <w:tc>
          <w:tcPr>
            <w:tcW w:type="dxa" w:w="2880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b/>
                <w:sz w:val="19"/>
              </w:rPr>
              <w:t xml:space="preserve">Оценка</w:t>
            </w:r>
          </w:p>
        </w:tc>
        <w:tc>
          <w:tcPr>
            <w:tcW w:type="dxa" w:w="2088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b/>
                <w:sz w:val="19"/>
              </w:rPr>
              <w:t xml:space="preserve">Исход</w:t>
            </w:r>
          </w:p>
        </w:tc>
        <w:tc>
          <w:tcPr>
            <w:tcW w:type="dxa" w:w="1008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b/>
                <w:sz w:val="19"/>
              </w:rPr>
              <w:t xml:space="preserve">N/G</w:t>
            </w:r>
          </w:p>
        </w:tc>
        <w:tc>
          <w:tcPr>
            <w:tcW w:type="dxa" w:w="4061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b/>
                <w:sz w:val="19"/>
              </w:rPr>
              <w:t xml:space="preserve">Результат, п.п.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Разность конкретности 2 − 1</w:t>
            </w:r>
          </w:p>
        </w:tc>
        <w:tc>
          <w:tcPr>
            <w:tcW w:type="dxa" w:w="2088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Полное</w:t>
            </w:r>
          </w:p>
        </w:tc>
        <w:tc>
          <w:tcPr>
            <w:tcW w:type="dxa" w:w="1008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190/83</w:t>
            </w:r>
          </w:p>
        </w:tc>
        <w:tc>
          <w:tcPr>
            <w:tcW w:type="dxa" w:w="4061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−17,9; 95% ДИ [-34,2; -0,5]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m2, spec2</w:t>
            </w:r>
          </w:p>
        </w:tc>
        <w:tc>
          <w:tcPr>
            <w:tcW w:type="dxa" w:w="2088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Полное</w:t>
            </w:r>
          </w:p>
        </w:tc>
        <w:tc>
          <w:tcPr>
            <w:tcW w:type="dxa" w:w="1008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190/83</w:t>
            </w:r>
          </w:p>
        </w:tc>
        <w:tc>
          <w:tcPr>
            <w:tcW w:type="dxa" w:w="4061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-15,9 (SE 9,1)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m3, spec2</w:t>
            </w:r>
          </w:p>
        </w:tc>
        <w:tc>
          <w:tcPr>
            <w:tcW w:type="dxa" w:w="2088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Полное/частичное</w:t>
            </w:r>
          </w:p>
        </w:tc>
        <w:tc>
          <w:tcPr>
            <w:tcW w:type="dxa" w:w="1008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190/83</w:t>
            </w:r>
          </w:p>
        </w:tc>
        <w:tc>
          <w:tcPr>
            <w:tcW w:type="dxa" w:w="4061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-16,8 (SE 7,8)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Примечания.</w:t>
      </w:r>
      <w:r>
        <w:t xml:space="preserve"> </w:t>
      </w:r>
      <w:r>
        <w:t xml:space="preserve">Источник: F2, архив F, аудит C, модели 34. Отношение долей ненайденного продолжения: F2 5,39; архив F 5,67. Повторный поиск 24 исходных dropped: 23 dropped, 1 partial (P0058), 0 full. ДИ разности full: 10 000 перевыборок целых фирм внутри стран; не интервал отношения долей и не поправка на ошибку кодирования. m2/m3: страна, spec2, pilot, general, число поздних отчётов, эффекты года, SE по фирме. N — строки, G — фирмы. SE — стандартная ошибка, не ДИ; оценки LPM умножены на 100. Диагностика C: 40 отобрано, 38 определимы, 26/38 совпадений, κ=0,577; сравнение моделей, не человеческая валидация. При t+1 по A: full 33/90 (36,7%) для конкретности 1 и 25/84 (29,8%) для 2; разность −6,9 п.п. Это отдельная описательная сверка с изменённым доступным составом. В KZ полногоризонтная разность +1,5 п.п.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X8242ba46dcaa412e1bd7686afeec9ced8934025"/>
    <w:p>
      <w:pPr>
        <w:pStyle w:val="Heading2"/>
        <w:pageBreakBefore/>
      </w:pPr>
      <w:r>
        <w:rPr>
          <w:color w:val="000000"/>
        </w:rPr>
        <w:t xml:space="preserve">Table III · Финансовый сектор и единицы подсчёта</w:t>
      </w:r>
    </w:p>
    <w:bookmarkStart w:id="13" w:name="панель-a-1"/>
    <w:p>
      <w:pPr>
        <w:pStyle w:val="Heading3"/>
      </w:pPr>
      <w:r>
        <w:rPr>
          <w:color w:val="000000"/>
        </w:rPr>
        <w:t xml:space="preserve">Панель 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88"/>
        <w:gridCol w:w="2376"/>
        <w:gridCol w:w="2376"/>
        <w:gridCol w:w="2160"/>
        <w:gridCol w:w="1037"/>
      </w:tblGrid>
      <w:tr>
        <w:trPr>
          <w:tblHeader w:val="on"/>
          <w:cantSplit/>
          <w:tblHeader/>
        </w:trPr>
        <w:tc>
          <w:tcPr>
            <w:tcW w:type="dxa" w:w="2088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b/>
                <w:sz w:val="19"/>
              </w:rPr>
              <w:t xml:space="preserve">Страна / сектор</w:t>
            </w:r>
          </w:p>
        </w:tc>
        <w:tc>
          <w:tcPr>
            <w:tcW w:type="dxa" w:w="2376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b/>
                <w:sz w:val="19"/>
              </w:rPr>
              <w:t xml:space="preserve">Строки full, n/N (%)</w:t>
            </w:r>
          </w:p>
        </w:tc>
        <w:tc>
          <w:tcPr>
            <w:tcW w:type="dxa" w:w="2376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b/>
                <w:sz w:val="19"/>
              </w:rPr>
              <w:t xml:space="preserve">Эпизоды full, n/N (%)</w:t>
            </w:r>
          </w:p>
        </w:tc>
        <w:tc>
          <w:tcPr>
            <w:tcW w:type="dxa" w:w="2160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b/>
                <w:sz w:val="19"/>
              </w:rPr>
              <w:t xml:space="preserve">Равные веса групп, %</w:t>
            </w:r>
          </w:p>
        </w:tc>
        <w:tc>
          <w:tcPr>
            <w:tcW w:type="dxa" w:w="1037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b/>
                <w:sz w:val="19"/>
              </w:rPr>
              <w:t xml:space="preserve">Групп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KZ / финансы</w:t>
            </w:r>
          </w:p>
        </w:tc>
        <w:tc>
          <w:tcPr>
            <w:tcW w:type="dxa" w:w="2376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6/15 (40,0%)</w:t>
            </w:r>
          </w:p>
        </w:tc>
        <w:tc>
          <w:tcPr>
            <w:tcW w:type="dxa" w:w="2376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6/14 (42,9%)</w:t>
            </w:r>
          </w:p>
        </w:tc>
        <w:tc>
          <w:tcPr>
            <w:tcW w:type="dxa" w:w="2160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36,5</w:t>
            </w:r>
          </w:p>
        </w:tc>
        <w:tc>
          <w:tcPr>
            <w:tcW w:type="dxa" w:w="1037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KZ / нефинансы</w:t>
            </w:r>
          </w:p>
        </w:tc>
        <w:tc>
          <w:tcPr>
            <w:tcW w:type="dxa" w:w="2376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1/14 (7,1%)</w:t>
            </w:r>
          </w:p>
        </w:tc>
        <w:tc>
          <w:tcPr>
            <w:tcW w:type="dxa" w:w="2376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1/13 (7,7%)</w:t>
            </w:r>
          </w:p>
        </w:tc>
        <w:tc>
          <w:tcPr>
            <w:tcW w:type="dxa" w:w="2160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3,7</w:t>
            </w:r>
          </w:p>
        </w:tc>
        <w:tc>
          <w:tcPr>
            <w:tcW w:type="dxa" w:w="1037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PL / финансы</w:t>
            </w:r>
          </w:p>
        </w:tc>
        <w:tc>
          <w:tcPr>
            <w:tcW w:type="dxa" w:w="2376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14/20 (70,0%)</w:t>
            </w:r>
          </w:p>
        </w:tc>
        <w:tc>
          <w:tcPr>
            <w:tcW w:type="dxa" w:w="2376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10/16 (62,5%)</w:t>
            </w:r>
          </w:p>
        </w:tc>
        <w:tc>
          <w:tcPr>
            <w:tcW w:type="dxa" w:w="2160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59,4</w:t>
            </w:r>
          </w:p>
        </w:tc>
        <w:tc>
          <w:tcPr>
            <w:tcW w:type="dxa" w:w="1037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PL / нефинансы</w:t>
            </w:r>
          </w:p>
        </w:tc>
        <w:tc>
          <w:tcPr>
            <w:tcW w:type="dxa" w:w="2376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4/10 (40,0%)</w:t>
            </w:r>
          </w:p>
        </w:tc>
        <w:tc>
          <w:tcPr>
            <w:tcW w:type="dxa" w:w="2376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3/9 (33,3%)</w:t>
            </w:r>
          </w:p>
        </w:tc>
        <w:tc>
          <w:tcPr>
            <w:tcW w:type="dxa" w:w="2160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28,6</w:t>
            </w:r>
          </w:p>
        </w:tc>
        <w:tc>
          <w:tcPr>
            <w:tcW w:type="dxa" w:w="1037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NL / финансы</w:t>
            </w:r>
          </w:p>
        </w:tc>
        <w:tc>
          <w:tcPr>
            <w:tcW w:type="dxa" w:w="2376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10/18 (55,6%)</w:t>
            </w:r>
          </w:p>
        </w:tc>
        <w:tc>
          <w:tcPr>
            <w:tcW w:type="dxa" w:w="2376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9/14 (64,3%)</w:t>
            </w:r>
          </w:p>
        </w:tc>
        <w:tc>
          <w:tcPr>
            <w:tcW w:type="dxa" w:w="2160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66,7</w:t>
            </w:r>
          </w:p>
        </w:tc>
        <w:tc>
          <w:tcPr>
            <w:tcW w:type="dxa" w:w="1037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NL / нефинансы</w:t>
            </w:r>
          </w:p>
        </w:tc>
        <w:tc>
          <w:tcPr>
            <w:tcW w:type="dxa" w:w="2376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45/113 (39,8%)</w:t>
            </w:r>
          </w:p>
        </w:tc>
        <w:tc>
          <w:tcPr>
            <w:tcW w:type="dxa" w:w="2376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37/96 (38,5%)</w:t>
            </w:r>
          </w:p>
        </w:tc>
        <w:tc>
          <w:tcPr>
            <w:tcW w:type="dxa" w:w="2160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40,4</w:t>
            </w:r>
          </w:p>
        </w:tc>
        <w:tc>
          <w:tcPr>
            <w:tcW w:type="dxa" w:w="1037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46</w:t>
            </w:r>
          </w:p>
        </w:tc>
      </w:tr>
    </w:tbl>
    <w:bookmarkEnd w:id="13"/>
    <w:bookmarkStart w:id="14" w:name="панель-b-1"/>
    <w:p>
      <w:pPr>
        <w:pStyle w:val="Heading3"/>
      </w:pPr>
      <w:r>
        <w:rPr>
          <w:color w:val="000000"/>
        </w:rPr>
        <w:t xml:space="preserve">Панель B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88"/>
        <w:gridCol w:w="2376"/>
        <w:gridCol w:w="2376"/>
        <w:gridCol w:w="2160"/>
        <w:gridCol w:w="1037"/>
      </w:tblGrid>
      <w:tr>
        <w:trPr>
          <w:tblHeader w:val="on"/>
          <w:cantSplit/>
          <w:tblHeader/>
        </w:trPr>
        <w:tc>
          <w:tcPr>
            <w:tcW w:type="dxa" w:w="2088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b/>
                <w:sz w:val="19"/>
              </w:rPr>
              <w:t xml:space="preserve">Страна / сектор</w:t>
            </w:r>
          </w:p>
        </w:tc>
        <w:tc>
          <w:tcPr>
            <w:tcW w:type="dxa" w:w="2376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b/>
                <w:sz w:val="19"/>
              </w:rPr>
              <w:t xml:space="preserve">Строки full, n/N (%)</w:t>
            </w:r>
          </w:p>
        </w:tc>
        <w:tc>
          <w:tcPr>
            <w:tcW w:type="dxa" w:w="2376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b/>
                <w:sz w:val="19"/>
              </w:rPr>
              <w:t xml:space="preserve">Эпизоды full, n/N (%)</w:t>
            </w:r>
          </w:p>
        </w:tc>
        <w:tc>
          <w:tcPr>
            <w:tcW w:type="dxa" w:w="2160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b/>
                <w:sz w:val="19"/>
              </w:rPr>
              <w:t xml:space="preserve">Равные веса групп, %</w:t>
            </w:r>
          </w:p>
        </w:tc>
        <w:tc>
          <w:tcPr>
            <w:tcW w:type="dxa" w:w="1037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b/>
                <w:sz w:val="19"/>
              </w:rPr>
              <w:t xml:space="preserve">Групп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KZ / все</w:t>
            </w:r>
          </w:p>
        </w:tc>
        <w:tc>
          <w:tcPr>
            <w:tcW w:type="dxa" w:w="2376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7/29 (24,1%)</w:t>
            </w:r>
          </w:p>
        </w:tc>
        <w:tc>
          <w:tcPr>
            <w:tcW w:type="dxa" w:w="2376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7/27 (25,9%)</w:t>
            </w:r>
          </w:p>
        </w:tc>
        <w:tc>
          <w:tcPr>
            <w:tcW w:type="dxa" w:w="2160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19,1</w:t>
            </w:r>
          </w:p>
        </w:tc>
        <w:tc>
          <w:tcPr>
            <w:tcW w:type="dxa" w:w="1037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17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PL / все</w:t>
            </w:r>
          </w:p>
        </w:tc>
        <w:tc>
          <w:tcPr>
            <w:tcW w:type="dxa" w:w="2376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18/30 (60,0%)</w:t>
            </w:r>
          </w:p>
        </w:tc>
        <w:tc>
          <w:tcPr>
            <w:tcW w:type="dxa" w:w="2376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13/25 (52,0%)</w:t>
            </w:r>
          </w:p>
        </w:tc>
        <w:tc>
          <w:tcPr>
            <w:tcW w:type="dxa" w:w="2160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42,8</w:t>
            </w:r>
          </w:p>
        </w:tc>
        <w:tc>
          <w:tcPr>
            <w:tcW w:type="dxa" w:w="1037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NL / все</w:t>
            </w:r>
          </w:p>
        </w:tc>
        <w:tc>
          <w:tcPr>
            <w:tcW w:type="dxa" w:w="2376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55/131 (42,0%)</w:t>
            </w:r>
          </w:p>
        </w:tc>
        <w:tc>
          <w:tcPr>
            <w:tcW w:type="dxa" w:w="2376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46/110 (41,8%)</w:t>
            </w:r>
          </w:p>
        </w:tc>
        <w:tc>
          <w:tcPr>
            <w:tcW w:type="dxa" w:w="2160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43,4</w:t>
            </w:r>
          </w:p>
        </w:tc>
        <w:tc>
          <w:tcPr>
            <w:tcW w:type="dxa" w:w="1037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52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Примечания.</w:t>
      </w:r>
      <w:r>
        <w:t xml:space="preserve"> </w:t>
      </w:r>
      <w:r>
        <w:t xml:space="preserve">Источник: F2 для строк; B для эпизодов и групп. Полные исходы не изменились при переходе F→F2. 190 строк → 162 эпизода; 83 юридических лица → 82 группы после объединения ING. Эпизод сохраняет исход первого обязательства; P0058 не якорная строка. Равные веса: сначала доля full среди эпизодов группы, затем среднее этих долей. Это иной оцениваемый показатель. Проценты вычислены заново из индивидуальных эпизодов, не из округлённых итогов B. Отраслевые различия описательные; сравнительная объяснительная сила страны и отрасли не оценивалась.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X0b6eae237f2e74c9c1a0f94b3cdc76a23047b88"/>
    <w:p>
      <w:pPr>
        <w:pStyle w:val="Heading2"/>
        <w:pageBreakBefore/>
      </w:pPr>
      <w:r>
        <w:rPr>
          <w:color w:val="000000"/>
        </w:rPr>
        <w:t xml:space="preserve">Table IV · Временная сопоставимость и совет</w:t>
      </w:r>
    </w:p>
    <w:bookmarkStart w:id="16" w:name="панель-a-2"/>
    <w:p>
      <w:pPr>
        <w:pStyle w:val="Heading3"/>
      </w:pPr>
      <w:r>
        <w:rPr>
          <w:color w:val="000000"/>
        </w:rPr>
        <w:t xml:space="preserve">Панель 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08"/>
        <w:gridCol w:w="1512"/>
        <w:gridCol w:w="1440"/>
        <w:gridCol w:w="2189"/>
        <w:gridCol w:w="1800"/>
        <w:gridCol w:w="2088"/>
      </w:tblGrid>
      <w:tr>
        <w:trPr>
          <w:tblHeader w:val="on"/>
          <w:cantSplit/>
          <w:tblHeader/>
        </w:trPr>
        <w:tc>
          <w:tcPr>
            <w:tcW w:type="dxa" w:w="1008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b/>
                <w:sz w:val="19"/>
              </w:rPr>
              <w:t xml:space="preserve">Страна</w:t>
            </w:r>
          </w:p>
        </w:tc>
        <w:tc>
          <w:tcPr>
            <w:tcW w:type="dxa" w:w="1512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b/>
                <w:sz w:val="19"/>
              </w:rPr>
              <w:t xml:space="preserve">Доступно / все</w:t>
            </w:r>
          </w:p>
        </w:tc>
        <w:tc>
          <w:tcPr>
            <w:tcW w:type="dxa" w:w="1440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b/>
                <w:sz w:val="19"/>
              </w:rPr>
              <w:t xml:space="preserve">Фирм / всех</w:t>
            </w:r>
          </w:p>
        </w:tc>
        <w:tc>
          <w:tcPr>
            <w:tcW w:type="dxa" w:w="2189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b/>
                <w:sz w:val="19"/>
              </w:rPr>
              <w:t xml:space="preserve">Full, n/N (%)</w:t>
            </w:r>
          </w:p>
        </w:tc>
        <w:tc>
          <w:tcPr>
            <w:tcW w:type="dxa" w:w="1800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b/>
                <w:sz w:val="19"/>
              </w:rPr>
              <w:t xml:space="preserve">95% ДИ, %</w:t>
            </w:r>
          </w:p>
        </w:tc>
        <w:tc>
          <w:tcPr>
            <w:tcW w:type="dxa" w:w="2088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b/>
                <w:sz w:val="19"/>
              </w:rPr>
              <w:t xml:space="preserve">Границы пропусков, %</w:t>
            </w:r>
          </w:p>
        </w:tc>
      </w:tr>
      <w:tr>
        <w:trPr>
          <w:cantSplit/>
        </w:trPr>
        <w:tc>
          <w:tcPr>
            <w:tcW w:type="dxa" w:w="1008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KZ</w:t>
            </w:r>
          </w:p>
        </w:tc>
        <w:tc>
          <w:tcPr>
            <w:tcW w:type="dxa" w:w="1512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29/29</w:t>
            </w:r>
          </w:p>
        </w:tc>
        <w:tc>
          <w:tcPr>
            <w:tcW w:type="dxa" w:w="1440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17/17</w:t>
            </w:r>
          </w:p>
        </w:tc>
        <w:tc>
          <w:tcPr>
            <w:tcW w:type="dxa" w:w="2189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6/29 (20,7%)</w:t>
            </w:r>
          </w:p>
        </w:tc>
        <w:tc>
          <w:tcPr>
            <w:tcW w:type="dxa" w:w="1800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7,4–34,5</w:t>
            </w:r>
          </w:p>
        </w:tc>
        <w:tc>
          <w:tcPr>
            <w:tcW w:type="dxa" w:w="2088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20,7–20,7</w:t>
            </w:r>
          </w:p>
        </w:tc>
      </w:tr>
      <w:tr>
        <w:trPr>
          <w:cantSplit/>
        </w:trPr>
        <w:tc>
          <w:tcPr>
            <w:tcW w:type="dxa" w:w="1008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PL</w:t>
            </w:r>
          </w:p>
        </w:tc>
        <w:tc>
          <w:tcPr>
            <w:tcW w:type="dxa" w:w="1512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16/30</w:t>
            </w:r>
          </w:p>
        </w:tc>
        <w:tc>
          <w:tcPr>
            <w:tcW w:type="dxa" w:w="1440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8/13</w:t>
            </w:r>
          </w:p>
        </w:tc>
        <w:tc>
          <w:tcPr>
            <w:tcW w:type="dxa" w:w="2189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4/16 (25,0%)</w:t>
            </w:r>
          </w:p>
        </w:tc>
        <w:tc>
          <w:tcPr>
            <w:tcW w:type="dxa" w:w="1800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0,0–60,0</w:t>
            </w:r>
          </w:p>
        </w:tc>
        <w:tc>
          <w:tcPr>
            <w:tcW w:type="dxa" w:w="2088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13,3–60,0</w:t>
            </w:r>
          </w:p>
        </w:tc>
      </w:tr>
      <w:tr>
        <w:trPr>
          <w:cantSplit/>
        </w:trPr>
        <w:tc>
          <w:tcPr>
            <w:tcW w:type="dxa" w:w="1008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NL</w:t>
            </w:r>
          </w:p>
        </w:tc>
        <w:tc>
          <w:tcPr>
            <w:tcW w:type="dxa" w:w="1512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129/131</w:t>
            </w:r>
          </w:p>
        </w:tc>
        <w:tc>
          <w:tcPr>
            <w:tcW w:type="dxa" w:w="1440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51/53</w:t>
            </w:r>
          </w:p>
        </w:tc>
        <w:tc>
          <w:tcPr>
            <w:tcW w:type="dxa" w:w="2189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48/129 (37,2%)</w:t>
            </w:r>
          </w:p>
        </w:tc>
        <w:tc>
          <w:tcPr>
            <w:tcW w:type="dxa" w:w="1800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27,2–48,5</w:t>
            </w:r>
          </w:p>
        </w:tc>
        <w:tc>
          <w:tcPr>
            <w:tcW w:type="dxa" w:w="2088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36,6–38,2</w:t>
            </w:r>
          </w:p>
        </w:tc>
      </w:tr>
    </w:tbl>
    <w:bookmarkEnd w:id="16"/>
    <w:bookmarkStart w:id="17" w:name="панель-b-2"/>
    <w:p>
      <w:pPr>
        <w:pStyle w:val="Heading3"/>
      </w:pPr>
      <w:r>
        <w:rPr>
          <w:color w:val="000000"/>
        </w:rPr>
        <w:t xml:space="preserve">Панель B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</w:tblPr>
      <w:tblGrid>
        <w:gridCol w:w="2952"/>
        <w:gridCol w:w="2592"/>
        <w:gridCol w:w="3053"/>
        <w:gridCol w:w="1440"/>
      </w:tblGrid>
      <w:tr>
        <w:trPr>
          <w:tblHeader w:val="on"/>
          <w:cantSplit/>
          <w:tblHeader/>
        </w:trPr>
        <w:tc>
          <w:tcPr>
            <w:tcW w:type="dxa" w:w="2952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b/>
                <w:sz w:val="19"/>
              </w:rPr>
              <w:t xml:space="preserve">Модель / признак</w:t>
            </w:r>
          </w:p>
        </w:tc>
        <w:tc>
          <w:tcPr>
            <w:tcW w:type="dxa" w:w="2592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b/>
                <w:sz w:val="19"/>
              </w:rPr>
              <w:t xml:space="preserve">Исход</w:t>
            </w:r>
          </w:p>
        </w:tc>
        <w:tc>
          <w:tcPr>
            <w:tcW w:type="dxa" w:w="3053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b/>
                <w:sz w:val="19"/>
              </w:rPr>
              <w:t xml:space="preserve">Оценка, п.п. (SE)</w:t>
            </w:r>
          </w:p>
        </w:tc>
        <w:tc>
          <w:tcPr>
            <w:tcW w:type="dxa" w:w="1440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b/>
                <w:sz w:val="19"/>
              </w:rPr>
              <w:t xml:space="preserve">N/G</w:t>
            </w:r>
          </w:p>
        </w:tc>
      </w:tr>
      <w:tr>
        <w:trPr>
          <w:cantSplit/>
        </w:trPr>
        <w:tc>
          <w:tcPr>
            <w:tcW w:type="dxa" w:w="2952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g1 / dig_any</w:t>
            </w:r>
          </w:p>
        </w:tc>
        <w:tc>
          <w:tcPr>
            <w:tcW w:type="dxa" w:w="2592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Полное</w:t>
            </w:r>
          </w:p>
        </w:tc>
        <w:tc>
          <w:tcPr>
            <w:tcW w:type="dxa" w:w="3053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-2,2 (10,2)</w:t>
            </w:r>
          </w:p>
        </w:tc>
        <w:tc>
          <w:tcPr>
            <w:tcW w:type="dxa" w:w="1440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164/72</w:t>
            </w:r>
          </w:p>
        </w:tc>
      </w:tr>
      <w:tr>
        <w:trPr>
          <w:cantSplit/>
        </w:trPr>
        <w:tc>
          <w:tcPr>
            <w:tcW w:type="dxa" w:w="2952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g2 / dig_any</w:t>
            </w:r>
          </w:p>
        </w:tc>
        <w:tc>
          <w:tcPr>
            <w:tcW w:type="dxa" w:w="2592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Полное</w:t>
            </w:r>
          </w:p>
        </w:tc>
        <w:tc>
          <w:tcPr>
            <w:tcW w:type="dxa" w:w="3053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-9,1 (11,1)</w:t>
            </w:r>
          </w:p>
        </w:tc>
        <w:tc>
          <w:tcPr>
            <w:tcW w:type="dxa" w:w="1440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128/57</w:t>
            </w:r>
          </w:p>
        </w:tc>
      </w:tr>
      <w:tr>
        <w:trPr>
          <w:cantSplit/>
        </w:trPr>
        <w:tc>
          <w:tcPr>
            <w:tcW w:type="dxa" w:w="2952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g3 / dig_any</w:t>
            </w:r>
          </w:p>
        </w:tc>
        <w:tc>
          <w:tcPr>
            <w:tcW w:type="dxa" w:w="2592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Полное/частичное</w:t>
            </w:r>
          </w:p>
        </w:tc>
        <w:tc>
          <w:tcPr>
            <w:tcW w:type="dxa" w:w="3053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-16,8 (10,3)</w:t>
            </w:r>
          </w:p>
        </w:tc>
        <w:tc>
          <w:tcPr>
            <w:tcW w:type="dxa" w:w="1440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128/57</w:t>
            </w:r>
          </w:p>
        </w:tc>
      </w:tr>
      <w:tr>
        <w:trPr>
          <w:cantSplit/>
        </w:trPr>
        <w:tc>
          <w:tcPr>
            <w:tcW w:type="dxa" w:w="2952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g5 / dig_nar</w:t>
            </w:r>
          </w:p>
        </w:tc>
        <w:tc>
          <w:tcPr>
            <w:tcW w:type="dxa" w:w="2592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Полное</w:t>
            </w:r>
          </w:p>
        </w:tc>
        <w:tc>
          <w:tcPr>
            <w:tcW w:type="dxa" w:w="3053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-19,7 (11,9)</w:t>
            </w:r>
          </w:p>
        </w:tc>
        <w:tc>
          <w:tcPr>
            <w:tcW w:type="dxa" w:w="1440"/>
          </w:tcPr>
          <w:p>
            <w:pPr>
              <w:pStyle w:val="Compact"/>
              <w:spacing w:after="80" w:before="80" w:line="240" w:lineRule="auto"/>
            </w:pPr>
            <w:r>
              <w:rPr>
                <w:rFonts w:ascii="Arial" w:hAnsi="Arial"/>
                <w:sz w:val="19"/>
              </w:rPr>
              <w:t xml:space="preserve">128/57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Примечания.</w:t>
      </w:r>
      <w:r>
        <w:t xml:space="preserve"> </w:t>
      </w:r>
      <w:r>
        <w:t xml:space="preserve">Панель A: отдельные проверенные исходы A в следующем обозначенном отчётном году, не ровно через 12 месяцев. Доступны 174/190. ДИ: 50 000 перевыборок фирм внутри страны. Границы пропусков — крайние сценарии, не ДИ; PL 4/30–18/30. Full/partial: KZ 12/29 (41,4%), PL 9/16 (56,3%), NL 76/129 (58,9%). Панель B: модели 35 на F2 за весь доступный горизонт. g1: страна и год; g2/g3/g5: также spec2, general, стандартизованный внутри страны логарифм активов, государственная принадлежность. SE по country × firm. g1 предварительно требует наличие активов: 164/72; затем 36 строк исключены из-за state, остаётся 128/57 (KZ 19/11, PL 15/6, NL 94/40). Смена g1→g2 отражает также состав. Отрасль и независимые директора не контролируются. Широкий dig_any и узкий dig_nar — косвенные биографические признаки. Эти две панели не являются одной моделью. Отсутствие убедительной поддержки положительного ожидания не устанавливает нулевой эффект.</w:t>
      </w:r>
    </w:p>
    <w:p>
      <w:r>
        <w:pict>
          <v:rect style="width:0;height:1.5pt" o:hralign="center" o:hrstd="t" o:hr="t"/>
        </w:pict>
      </w:r>
    </w:p>
    <w:bookmarkEnd w:id="17"/>
    <w:bookmarkEnd w:id="18"/>
    <w:bookmarkEnd w:id="19"/>
    <w:sectPr>
      <w:footnotePr>
        <w:numRestart w:val="eachSect"/>
      </w:footnotePr>
      <w:pgSz w:w="11909" w:h="16834"/>
      <w:pgMar w:top="1008" w:bottom="1008" w:left="936" w:right="93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59" w:lineRule="auto"/>
    </w:pPr>
    <w:rPr>
      <w:rFonts w:ascii="Arial" w:hAnsi="Arial"/>
      <w:color w:val="000000"/>
      <w:sz w:val="21"/>
    </w:rPr>
  </w:style>
  <w:style w:styleId="BodyText" w:type="paragraph">
    <w:name w:val="Body Text"/>
    <w:basedOn w:val="Normal"/>
    <w:link w:val="BodyTextChar"/>
    <w:qFormat/>
    <w:pPr>
      <w:spacing w:after="120" w:before="180" w:line="259" w:lineRule="auto"/>
    </w:pPr>
    <w:rPr>
      <w:rFonts w:ascii="Arial" w:hAnsi="Arial"/>
      <w:color w:val="000000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20" w:line="259" w:lineRule="auto"/>
    </w:pPr>
    <w:rPr>
      <w:rFonts w:ascii="Arial" w:hAnsi="Arial"/>
      <w:color w:val="000000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/>
      <w:color w:val="00000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/>
      <w:spacing w:after="80" w:line="240" w:lineRule="auto"/>
      <w:contextualSpacing/>
      <w:jc w:val="center"/>
    </w:pPr>
    <w:rPr>
      <w:rFonts w:asciiTheme="majorHAnsi" w:cstheme="majorBidi" w:eastAsiaTheme="majorEastAsia" w:hAnsiTheme="majorHAnsi" w:ascii="Arial" w:hAnsi="Arial"/>
      <w:color w:val="000000"/>
      <w:sz w:val="38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 w:ascii="Arial" w:hAnsi="Arial"/>
      <w:color w:val="000000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Arial" w:hAnsi="Arial"/>
      <w:color w:val="000000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Arial" w:hAnsi="Arial"/>
      <w:color w:val="000000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Arial" w:hAnsi="Arial"/>
      <w:b/>
      <w:color w:val="000000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hAnsi="Arial"/>
      <w:color w:val="000000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hAnsi="Arial"/>
      <w:color w:val="000000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Arial" w:hAnsi="Arial"/>
      <w:color w:val="000000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Arial" w:hAnsi="Arial"/>
      <w:color w:val="000000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Arial" w:hAnsi="Arial"/>
      <w:color w:val="000000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 w:ascii="Arial" w:hAnsi="Arial"/>
      <w:i/>
      <w:iCs/>
      <w:color w:val="000000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 w:ascii="Arial" w:hAnsi="Arial"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 w:ascii="Arial" w:hAnsi="Arial"/>
      <w:i/>
      <w:iCs/>
      <w:color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 w:ascii="Arial" w:hAnsi="Arial"/>
      <w:color w:val="000000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 w:ascii="Arial" w:hAnsi="Arial"/>
      <w:i/>
      <w:iCs/>
      <w:color w:val="000000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 w:ascii="Arial" w:hAnsi="Arial"/>
      <w:color w:val="000000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hAnsi="Arial"/>
      <w:color w:val="00000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hAnsi="Arial"/>
      <w:color w:val="000000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Arial" w:hAnsi="Arial"/>
      <w:color w:val="000000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hAnsi="Arial"/>
      <w:b/>
      <w:color w:val="000000"/>
    </w:rPr>
  </w:style>
  <w:style w:customStyle="1" w:styleId="Definition" w:type="paragraph">
    <w:name w:val="Definition"/>
    <w:basedOn w:val="Normal"/>
    <w:rPr>
      <w:rFonts w:ascii="Arial" w:hAnsi="Arial"/>
      <w:color w:val="000000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hAnsi="Arial"/>
      <w:i/>
      <w:color w:val="000000"/>
    </w:rPr>
  </w:style>
  <w:style w:customStyle="1" w:styleId="TableCaption" w:type="paragraph">
    <w:name w:val="Table Caption"/>
    <w:basedOn w:val="Caption"/>
    <w:pPr>
      <w:keepNext/>
    </w:pPr>
    <w:rPr>
      <w:rFonts w:ascii="Arial" w:hAnsi="Arial"/>
      <w:color w:val="000000"/>
    </w:rPr>
  </w:style>
  <w:style w:customStyle="1" w:styleId="ImageCaption" w:type="paragraph">
    <w:name w:val="Image Caption"/>
    <w:basedOn w:val="Caption"/>
    <w:rPr>
      <w:rFonts w:ascii="Arial" w:hAnsi="Arial"/>
      <w:color w:val="000000"/>
    </w:rPr>
  </w:style>
  <w:style w:customStyle="1" w:styleId="Figure" w:type="paragraph">
    <w:name w:val="Figure"/>
    <w:basedOn w:val="Normal"/>
    <w:rPr>
      <w:rFonts w:ascii="Arial" w:hAnsi="Arial"/>
      <w:color w:val="000000"/>
    </w:rPr>
  </w:style>
  <w:style w:customStyle="1" w:styleId="CaptionedFigure" w:type="paragraph">
    <w:name w:val="Captioned Figure"/>
    <w:basedOn w:val="Figure"/>
    <w:pPr>
      <w:keepNext/>
    </w:pPr>
    <w:rPr>
      <w:rFonts w:ascii="Arial" w:hAnsi="Arial"/>
      <w:color w:val="000000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Arial" w:hAnsi="Arial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Arial" w:hAnsi="Arial"/>
      <w:color w:val="00000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2026-10-07T18:52:57Z</dcterms:created>
  <dcterms:modified xsi:type="dcterms:W3CDTF">2026-10-07T18:52:57Z</dcterms:modified>
  <cp:lastModifiedBy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