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4a4291dd0eb6ab8a3d4bcfdc3b25c91a12d8551"/>
    <w:p>
      <w:pPr>
        <w:pStyle w:val="Heading1"/>
      </w:pPr>
      <w:r>
        <w:t xml:space="preserve">External validation, conformal uncertainty, and feature stability in machine-learning epigenetic clocks trained on established methylation panels</w:t>
      </w:r>
    </w:p>
    <w:p>
      <w:pPr>
        <w:pStyle w:val="FirstParagraph"/>
      </w:pPr>
      <w:r>
        <w:rPr>
          <w:b/>
          <w:bCs/>
        </w:rPr>
        <w:t xml:space="preserve">Article type:</w:t>
      </w:r>
      <w:r>
        <w:t xml:space="preserve"> </w:t>
      </w:r>
      <w:r>
        <w:t xml:space="preserve">Research article</w:t>
      </w:r>
    </w:p>
    <w:bookmarkStart w:id="9" w:name="author"/>
    <w:p>
      <w:pPr>
        <w:pStyle w:val="Heading2"/>
      </w:pPr>
      <w:r>
        <w:t xml:space="preserve">Author</w:t>
      </w:r>
    </w:p>
    <w:p>
      <w:pPr>
        <w:pStyle w:val="FirstParagraph"/>
      </w:pPr>
      <w:r>
        <w:t xml:space="preserve">Issabay Yesmagambetov</w:t>
      </w:r>
      <w:r>
        <w:br/>
      </w:r>
      <w:r>
        <w:t xml:space="preserve">Toraighyrov University, Pavlodar, Kazakhstan</w:t>
      </w:r>
      <w:r>
        <w:br/>
      </w:r>
      <w:r>
        <w:t xml:space="preserve">ORCID: 0009-0000-4277-9524</w:t>
      </w:r>
      <w:r>
        <w:br/>
      </w:r>
      <w:r>
        <w:t xml:space="preserve">Email: Isabay777@gmail.com</w:t>
      </w:r>
    </w:p>
    <w:p>
      <w:pPr>
        <w:pStyle w:val="BodyText"/>
      </w:pPr>
      <w:r>
        <w:rPr>
          <w:b/>
          <w:bCs/>
        </w:rPr>
        <w:t xml:space="preserve">Corresponding author:</w:t>
      </w:r>
      <w:r>
        <w:t xml:space="preserve"> </w:t>
      </w:r>
      <w:r>
        <w:t xml:space="preserve">Issabay Yesmagambetov, Isabay777@gmail.com</w:t>
      </w:r>
    </w:p>
    <w:bookmarkEnd w:id="9"/>
    <w:bookmarkStart w:id="10" w:name="abstract"/>
    <w:p>
      <w:pPr>
        <w:pStyle w:val="Heading2"/>
      </w:pPr>
      <w:r>
        <w:t xml:space="preserve">Abstract</w:t>
      </w:r>
    </w:p>
    <w:p>
      <w:pPr>
        <w:pStyle w:val="FirstParagraph"/>
      </w:pPr>
      <w:r>
        <w:t xml:space="preserve">DNA methylation clocks are often treated as a setting in which flexible machine-learning models should improve chronological-age prediction. We tested that assumption using two public whole-blood Gene Expression Omnibus cohorts and a 418 cytosine-phosphate-guanine site union of established clock probes. Models were trained in one cohort and externally tested in the other, then reversed. When trained on GSE40279 and tested on GSE87571, a plain elastic-net baseline reached mean absolute error 3.85 years, while ElasticNetCV reached 3.95 years; their paired bootstrap confidence interval for the mean absolute error difference crossed zero. The unweighted ensemble had mean absolute error 4.21 years and was distinguishably worse than the best linear model. In the reverse direction, ElasticNetCV reached mean absolute error 3.79 years and was distinguishably better than gradient boosting, multilayer perceptron, plain elastic net, and the ensemble. Split-conformal intervals based on ElasticNetCV were empirically near nominal in one direction, with coverage 0.898 for nominal coverage 0.90, but undercovered in the reverse direction, with coverage 0.748. SHapley Additive exPlanations analysis of the gradient-boosting model identified cg16867657 as rank 1 in both directions, while broader feature ranking was weakly stable across all 418 sites. These findings support a reality-check conclusion: on established methylation-clock panels, added model complexity did not improve external accuracy, and uncertainty calibration did not transfer symmetrically across cohorts.</w:t>
      </w:r>
    </w:p>
    <w:p>
      <w:pPr>
        <w:pStyle w:val="BodyText"/>
      </w:pPr>
      <w:r>
        <w:rPr>
          <w:b/>
          <w:bCs/>
        </w:rPr>
        <w:t xml:space="preserve">Keywords:</w:t>
      </w:r>
      <w:r>
        <w:t xml:space="preserve"> </w:t>
      </w:r>
      <w:r>
        <w:t xml:space="preserve">DNA methylation; epigenetic clock; external validation; elastic net; conformal prediction; SHAP</w:t>
      </w:r>
    </w:p>
    <w:bookmarkEnd w:id="10"/>
    <w:bookmarkStart w:id="18" w:name="declarations"/>
    <w:p>
      <w:pPr>
        <w:pStyle w:val="Heading2"/>
      </w:pPr>
      <w:r>
        <w:t xml:space="preserve">Declarations</w:t>
      </w:r>
    </w:p>
    <w:bookmarkStart w:id="11" w:name="funding"/>
    <w:p>
      <w:pPr>
        <w:pStyle w:val="Heading3"/>
      </w:pPr>
      <w:r>
        <w:t xml:space="preserve">Funding</w:t>
      </w:r>
    </w:p>
    <w:p>
      <w:pPr>
        <w:pStyle w:val="FirstParagraph"/>
      </w:pPr>
      <w:r>
        <w:t xml:space="preserve">No specific funding was received for this study.</w:t>
      </w:r>
    </w:p>
    <w:bookmarkEnd w:id="11"/>
    <w:bookmarkStart w:id="12" w:name="competing-interests"/>
    <w:p>
      <w:pPr>
        <w:pStyle w:val="Heading3"/>
      </w:pPr>
      <w:r>
        <w:t xml:space="preserve">Competing interests</w:t>
      </w:r>
    </w:p>
    <w:p>
      <w:pPr>
        <w:pStyle w:val="FirstParagraph"/>
      </w:pPr>
      <w:r>
        <w:t xml:space="preserve">The author declares no competing interests.</w:t>
      </w:r>
    </w:p>
    <w:bookmarkEnd w:id="12"/>
    <w:bookmarkStart w:id="13" w:name="ethics-approval"/>
    <w:p>
      <w:pPr>
        <w:pStyle w:val="Heading3"/>
      </w:pPr>
      <w:r>
        <w:t xml:space="preserve">Ethics approval</w:t>
      </w:r>
    </w:p>
    <w:p>
      <w:pPr>
        <w:pStyle w:val="FirstParagraph"/>
      </w:pPr>
      <w:r>
        <w:t xml:space="preserve">This study used public, de-identified Gene Expression Omnibus data from GSE40279 and GSE87571. No new human participants were recruited, no new biospecimens were collected, and no attempt was made to identify participants. The analysis was therefore a secondary analysis of public de-identified data.</w:t>
      </w:r>
    </w:p>
    <w:bookmarkEnd w:id="13"/>
    <w:bookmarkStart w:id="14" w:name="data-availability"/>
    <w:p>
      <w:pPr>
        <w:pStyle w:val="Heading3"/>
      </w:pPr>
      <w:r>
        <w:t xml:space="preserve">Data availability</w:t>
      </w:r>
    </w:p>
    <w:p>
      <w:pPr>
        <w:pStyle w:val="FirstParagraph"/>
      </w:pPr>
      <w:r>
        <w:t xml:space="preserve">The source methylation datasets are available through the Gene Expression Omnibus under accessions GSE40279 and GSE87571. The analysis code and outputs are openly available in the project repository (https://github.com/isabay777-dev/epigenetic-clock-external-validation) and archived at Zenodo (https://doi.org/10.5281/zenodo.21202338).</w:t>
      </w:r>
    </w:p>
    <w:bookmarkEnd w:id="14"/>
    <w:bookmarkStart w:id="15" w:name="code-availability"/>
    <w:p>
      <w:pPr>
        <w:pStyle w:val="Heading3"/>
      </w:pPr>
      <w:r>
        <w:t xml:space="preserve">Code availability</w:t>
      </w:r>
    </w:p>
    <w:p>
      <w:pPr>
        <w:pStyle w:val="FirstParagraph"/>
      </w:pPr>
      <w:r>
        <w:t xml:space="preserve">The analysis was generated by</w:t>
      </w:r>
      <w:r>
        <w:t xml:space="preserve"> </w:t>
      </w:r>
      <w:r>
        <w:rPr>
          <w:rStyle w:val="VerbatimChar"/>
        </w:rPr>
        <w:t xml:space="preserve">make_clock.py</w:t>
      </w:r>
      <w:r>
        <w:t xml:space="preserve">, with figures generated by</w:t>
      </w:r>
      <w:r>
        <w:t xml:space="preserve"> </w:t>
      </w:r>
      <w:r>
        <w:rPr>
          <w:rStyle w:val="VerbatimChar"/>
        </w:rPr>
        <w:t xml:space="preserve">make_figures.py</w:t>
      </w:r>
      <w:r>
        <w:t xml:space="preserve">. The manuscript reports only numbers present in the analysis outputs and</w:t>
      </w:r>
      <w:r>
        <w:t xml:space="preserve"> </w:t>
      </w:r>
      <w:r>
        <w:rPr>
          <w:rStyle w:val="VerbatimChar"/>
        </w:rPr>
        <w:t xml:space="preserve">ARTICLE3_methylation_facts.md</w:t>
      </w:r>
      <w:r>
        <w:t xml:space="preserve">.</w:t>
      </w:r>
    </w:p>
    <w:bookmarkEnd w:id="15"/>
    <w:bookmarkStart w:id="16" w:name="author-contributions"/>
    <w:p>
      <w:pPr>
        <w:pStyle w:val="Heading3"/>
      </w:pPr>
      <w:r>
        <w:t xml:space="preserve">Author contributions</w:t>
      </w:r>
    </w:p>
    <w:p>
      <w:pPr>
        <w:pStyle w:val="FirstParagraph"/>
      </w:pPr>
      <w:r>
        <w:t xml:space="preserve">Issabay Yesmagambetov conceived the study, performed the analysis, interpreted the results, and prepared the manuscript.</w:t>
      </w:r>
    </w:p>
    <w:bookmarkEnd w:id="16"/>
    <w:bookmarkStart w:id="17" w:name="X4745241486db29b81f708cb23e62d452b9dbbee"/>
    <w:p>
      <w:pPr>
        <w:pStyle w:val="Heading3"/>
      </w:pPr>
      <w:r>
        <w:t xml:space="preserve">Generative artificial intelligence disclosure</w:t>
      </w:r>
    </w:p>
    <w:p>
      <w:pPr>
        <w:pStyle w:val="FirstParagraph"/>
      </w:pPr>
      <w:r>
        <w:t xml:space="preserve">A large language model was used for drafting and code-assistance support. The author retained full responsibility for the data, analysis, interpretation, conclusions, and final manuscript content.</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2026-07-05T07:40:00Z</dcterms:created>
  <dcterms:modified xsi:type="dcterms:W3CDTF">2026-07-05T07:40:00Z</dcterms:modified>
</cp:coreProperties>
</file>

<file path=docProps/custom.xml><?xml version="1.0" encoding="utf-8"?>
<Properties xmlns="http://schemas.openxmlformats.org/officeDocument/2006/custom-properties" xmlns:vt="http://schemas.openxmlformats.org/officeDocument/2006/docPropsVTypes"/>
</file>