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[DATE]</w:t>
      </w:r>
    </w:p>
    <w:p>
      <w:pPr>
        <w:pStyle w:val="BodyText"/>
      </w:pPr>
      <w:r>
        <w:t xml:space="preserve">Dear Biogerontology Editor,</w:t>
      </w:r>
    </w:p>
    <w:p>
      <w:pPr>
        <w:pStyle w:val="BodyText"/>
      </w:pPr>
      <w:r>
        <w:t xml:space="preserve">Please consider the manuscript titled</w:t>
      </w:r>
      <w:r>
        <w:t xml:space="preserve"> </w:t>
      </w:r>
      <w:r>
        <w:t xml:space="preserve">“External validation, conformal uncertainty, and feature stability in machine-learning epigenetic clocks trained on established methylation panels”</w:t>
      </w:r>
      <w:r>
        <w:t xml:space="preserve"> </w:t>
      </w:r>
      <w:r>
        <w:t xml:space="preserve">for publication as a Research Article in Biogerontology.</w:t>
      </w:r>
    </w:p>
    <w:p>
      <w:pPr>
        <w:pStyle w:val="BodyText"/>
      </w:pPr>
      <w:r>
        <w:t xml:space="preserve">This study provides a reality-check analysis of epigenetic-clock modeling on established methylation clock-CpG panels. Using two public whole-blood GEO cohorts and bidirectional external validation, the manuscript shows that regularized linear models match or outperform more complex machine-learning models in this setting. It also reports calibrated-uncertainty analyses using split-conformal prediction and feature-stability analyses using SHAP, with cautious interpretation of transfer asymmetry and CpG-attribution stability.</w:t>
      </w:r>
    </w:p>
    <w:p>
      <w:pPr>
        <w:pStyle w:val="BodyText"/>
      </w:pPr>
      <w:r>
        <w:t xml:space="preserve">The manuscript is original, is not under consideration elsewhere, and has not been published previously. The submission is single-authored. The study uses only public, de-identified Gene Expression Omnibus data from GSE40279 and GSE87571, with no new human subjects, biospecimens, or identifiable participant data.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Issabay Yesmagambetov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2026-07-03T09:46:30Z</dcterms:created>
  <dcterms:modified xsi:type="dcterms:W3CDTF">2026-07-03T09:46:30Z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