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p6qosgjde0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Filosofía Arquitectónica: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Cloud-Native &amp; API-First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Dada la exigencia de integrarse con el </w:t>
      </w:r>
      <w:r w:rsidDel="00000000" w:rsidR="00000000" w:rsidRPr="00000000">
        <w:rPr>
          <w:b w:val="1"/>
          <w:bCs w:val="1"/>
          <w:rtl w:val="0"/>
        </w:rPr>
        <w:t xml:space="preserve">Core del Banco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b w:val="1"/>
          <w:bCs w:val="1"/>
          <w:rtl w:val="0"/>
        </w:rPr>
        <w:t xml:space="preserve">API-REST</w:t>
      </w:r>
      <w:r w:rsidDel="00000000" w:rsidR="00000000" w:rsidRPr="00000000">
        <w:rPr>
          <w:rtl w:val="0"/>
        </w:rPr>
        <w:t xml:space="preserve"> y la necesidad de una </w:t>
      </w:r>
      <w:r w:rsidDel="00000000" w:rsidR="00000000" w:rsidRPr="00000000">
        <w:rPr>
          <w:b w:val="1"/>
          <w:bCs w:val="1"/>
          <w:rtl w:val="0"/>
        </w:rPr>
        <w:t xml:space="preserve">plataforma responsiva</w:t>
      </w:r>
      <w:r w:rsidDel="00000000" w:rsidR="00000000" w:rsidRPr="00000000">
        <w:rPr>
          <w:rtl w:val="0"/>
        </w:rPr>
        <w:t xml:space="preserve">, la filosofía debe ser </w:t>
      </w:r>
      <w:r w:rsidDel="00000000" w:rsidR="00000000" w:rsidRPr="00000000">
        <w:rPr>
          <w:b w:val="1"/>
          <w:bCs w:val="1"/>
          <w:rtl w:val="0"/>
        </w:rPr>
        <w:t xml:space="preserve">API-First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El backend se construye como un conjunto de servicios independientes que exponen datos a través de JSON.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al Software:</w:t>
      </w:r>
      <w:r w:rsidDel="00000000" w:rsidR="00000000" w:rsidRPr="00000000">
        <w:rPr>
          <w:rtl w:val="0"/>
        </w:rPr>
        <w:t xml:space="preserve"> Esto permite que la "Plataforma Virtual" no sea un sistema cerrado, sino un ecosistema capaz de articularse con "Encuentro BDP" y "Ventana BDP".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Beneficio:</w:t>
      </w:r>
      <w:r w:rsidDel="00000000" w:rsidR="00000000" w:rsidRPr="00000000">
        <w:rPr>
          <w:rtl w:val="0"/>
        </w:rPr>
        <w:t xml:space="preserve"> Facilita la </w:t>
      </w:r>
      <w:r w:rsidDel="00000000" w:rsidR="00000000" w:rsidRPr="00000000">
        <w:rPr>
          <w:b w:val="1"/>
          <w:bCs w:val="1"/>
          <w:rtl w:val="0"/>
        </w:rPr>
        <w:t xml:space="preserve">extensibilidad del sistema</w:t>
      </w:r>
      <w:r w:rsidDel="00000000" w:rsidR="00000000" w:rsidRPr="00000000">
        <w:rPr>
          <w:rtl w:val="0"/>
        </w:rPr>
        <w:t xml:space="preserve"> de manera autónoma, un requisito clave del banco.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gjcjd1mohd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Patrón Arquitectónico: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Microservicios con API Gateway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Para gestionar los diversos módulos de evaluación (Agrícola, Pecuaria, Producción), el patrón de </w:t>
      </w:r>
      <w:r w:rsidDel="00000000" w:rsidR="00000000" w:rsidRPr="00000000">
        <w:rPr>
          <w:b w:val="1"/>
          <w:bCs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 es el más adecuado.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Shutterstock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p5c2abeks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Interacción con los Módulos: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Evaluación (Agrícola/Pecuaria/Producción):</w:t>
      </w:r>
      <w:r w:rsidDel="00000000" w:rsidR="00000000" w:rsidRPr="00000000">
        <w:rPr>
          <w:rtl w:val="0"/>
        </w:rPr>
        <w:t xml:space="preserve"> Cada uno funciona como un microservicio independiente para que un cambio en las tablas de "Determinación de ingresos" no afecte al resto del sistema.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Seguridad (Auth Service):</w:t>
      </w:r>
      <w:r w:rsidDel="00000000" w:rsidR="00000000" w:rsidRPr="00000000">
        <w:rPr>
          <w:rtl w:val="0"/>
        </w:rPr>
        <w:t xml:space="preserve"> Centraliza la autenticación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y el manejo de </w:t>
      </w:r>
      <w:r w:rsidDel="00000000" w:rsidR="00000000" w:rsidRPr="00000000">
        <w:rPr>
          <w:b w:val="1"/>
          <w:bCs w:val="1"/>
          <w:rtl w:val="0"/>
        </w:rPr>
        <w:t xml:space="preserve">contraseñas encriptadas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Auditoría (Log Service):</w:t>
      </w:r>
      <w:r w:rsidDel="00000000" w:rsidR="00000000" w:rsidRPr="00000000">
        <w:rPr>
          <w:rtl w:val="0"/>
        </w:rPr>
        <w:t xml:space="preserve"> Se encarga exclusivamente de generar las </w:t>
      </w:r>
      <w:r w:rsidDel="00000000" w:rsidR="00000000" w:rsidRPr="00000000">
        <w:rPr>
          <w:b w:val="1"/>
          <w:bCs w:val="1"/>
          <w:rtl w:val="0"/>
        </w:rPr>
        <w:t xml:space="preserve">pistas/logs de auditoría</w:t>
      </w:r>
      <w:r w:rsidDel="00000000" w:rsidR="00000000" w:rsidRPr="00000000">
        <w:rPr>
          <w:rtl w:val="0"/>
        </w:rPr>
        <w:t xml:space="preserve"> exi</w:t>
        <w:tab/>
        <w:t xml:space="preserve">gidos.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Integración (Core Link):</w:t>
      </w:r>
      <w:r w:rsidDel="00000000" w:rsidR="00000000" w:rsidRPr="00000000">
        <w:rPr>
          <w:rtl w:val="0"/>
        </w:rPr>
        <w:t xml:space="preserve"> Implementa la arquitectura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y el principio </w:t>
      </w:r>
      <w:r w:rsidDel="00000000" w:rsidR="00000000" w:rsidRPr="00000000">
        <w:rPr>
          <w:b w:val="1"/>
          <w:bCs w:val="1"/>
          <w:rtl w:val="0"/>
        </w:rPr>
        <w:t xml:space="preserve">HATEOAS</w:t>
      </w:r>
      <w:r w:rsidDel="00000000" w:rsidR="00000000" w:rsidRPr="00000000">
        <w:rPr>
          <w:rtl w:val="0"/>
        </w:rPr>
        <w:t xml:space="preserve"> para hablar con el sistema CORE del banco.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spn8msxkot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(Estilo):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Hexagonal (Ports &amp; Adapters)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A nivel de código interno, cada microservicio debe seguir la </w:t>
      </w:r>
      <w:r w:rsidDel="00000000" w:rsidR="00000000" w:rsidRPr="00000000">
        <w:rPr>
          <w:b w:val="1"/>
          <w:bCs w:val="1"/>
          <w:rtl w:val="0"/>
        </w:rPr>
        <w:t xml:space="preserve">Arquitectura Hexagonal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El pliego exige que el software soporte motores de base de datos </w:t>
      </w:r>
      <w:r w:rsidDel="00000000" w:rsidR="00000000" w:rsidRPr="00000000">
        <w:rPr>
          <w:b w:val="1"/>
          <w:bCs w:val="1"/>
          <w:rtl w:val="0"/>
        </w:rPr>
        <w:t xml:space="preserve">Oracle o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La lógica de negocio (el cálculo del "Flujo de caja proyectado" ) queda en el centro, aislada de la base de datos.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Implicación:</w:t>
      </w:r>
      <w:r w:rsidDel="00000000" w:rsidR="00000000" w:rsidRPr="00000000">
        <w:rPr>
          <w:rtl w:val="0"/>
        </w:rPr>
        <w:t xml:space="preserve"> Si el banco decide migrar de PostgreSQL a Oracle, solo cambias el "Adaptador" de persistencia sin tocar las reglas de negocio del crédito.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ezcjnxgofk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Patrón de Diseño: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Strategy &amp; Factory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Para la implementación técnica de los formularios y evaluaciones: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Strategy:</w:t>
      </w:r>
      <w:r w:rsidDel="00000000" w:rsidR="00000000" w:rsidRPr="00000000">
        <w:rPr>
          <w:rtl w:val="0"/>
        </w:rPr>
        <w:t xml:space="preserve"> Se usa para el </w:t>
      </w:r>
      <w:r w:rsidDel="00000000" w:rsidR="00000000" w:rsidRPr="00000000">
        <w:rPr>
          <w:b w:val="1"/>
          <w:bCs w:val="1"/>
          <w:rtl w:val="0"/>
        </w:rPr>
        <w:t xml:space="preserve">Scoring Crediticio</w:t>
      </w:r>
      <w:r w:rsidDel="00000000" w:rsidR="00000000" w:rsidRPr="00000000">
        <w:rPr>
          <w:rtl w:val="0"/>
        </w:rPr>
        <w:t xml:space="preserve">. El sistema puede aplicar diferentes "estrategias" de evaluación (Agrícola vs. Banca Empresa) según el tipo de cliente detectado en el registro inicial.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Factory:</w:t>
      </w:r>
      <w:r w:rsidDel="00000000" w:rsidR="00000000" w:rsidRPr="00000000">
        <w:rPr>
          <w:rtl w:val="0"/>
        </w:rPr>
        <w:t xml:space="preserve"> Ideal para la generación de los múltiples </w:t>
      </w:r>
      <w:r w:rsidDel="00000000" w:rsidR="00000000" w:rsidRPr="00000000">
        <w:rPr>
          <w:b w:val="1"/>
          <w:bCs w:val="1"/>
          <w:rtl w:val="0"/>
        </w:rPr>
        <w:t xml:space="preserve">Check lists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Declaraciones Juradas</w:t>
      </w:r>
      <w:r w:rsidDel="00000000" w:rsidR="00000000" w:rsidRPr="00000000">
        <w:rPr>
          <w:rtl w:val="0"/>
        </w:rPr>
        <w:t xml:space="preserve">. Una "Fábrica de Documentos" crea el objeto necesario según el flujo crediticio activo.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