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ED82" w14:textId="77777777" w:rsidR="00266FCE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4EEA4228" w14:textId="77777777" w:rsidR="00266FCE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BF8DFA3" w14:textId="77777777" w:rsidR="00266FCE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SEGUNDA ENTREGA</w:t>
      </w:r>
    </w:p>
    <w:p w14:paraId="65A82CC1" w14:textId="77777777" w:rsidR="00266FCE" w:rsidRDefault="00000000">
      <w:pPr>
        <w:spacing w:before="60" w:after="60"/>
        <w:jc w:val="center"/>
      </w:pPr>
      <w:r>
        <w:rPr>
          <w:color w:val="595959"/>
        </w:rPr>
        <w:t>Desarrollo de Funcionalidades · Guía de Usuario</w:t>
      </w:r>
    </w:p>
    <w:p w14:paraId="7FC9DF52" w14:textId="77777777" w:rsidR="00266FCE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266FCE" w14:paraId="4DA13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94C9D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D1EBD" w14:textId="77777777" w:rsidR="00266FCE" w:rsidRDefault="00000000">
            <w:r>
              <w:rPr>
                <w:sz w:val="20"/>
                <w:szCs w:val="20"/>
              </w:rPr>
              <w:t>Segunda Entrega (hasta 80 días hábiles)</w:t>
            </w:r>
          </w:p>
        </w:tc>
      </w:tr>
      <w:tr w:rsidR="00266FCE" w14:paraId="3E7BD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E4F46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41162" w14:textId="77777777" w:rsidR="00266FCE" w:rsidRDefault="00000000">
            <w:r>
              <w:rPr>
                <w:sz w:val="20"/>
                <w:szCs w:val="20"/>
              </w:rPr>
              <w:t>Desarrollo de funcionalidades · Guía de usuario · Plataforma responsiva</w:t>
            </w:r>
          </w:p>
        </w:tc>
      </w:tr>
      <w:tr w:rsidR="00266FCE" w14:paraId="2FB8C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1D9BD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AFA16" w14:textId="77777777" w:rsidR="00266FCE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266FCE" w14:paraId="2487B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94732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D3F07" w14:textId="77777777" w:rsidR="00266FCE" w:rsidRDefault="00000000">
            <w:r>
              <w:rPr>
                <w:sz w:val="20"/>
                <w:szCs w:val="20"/>
              </w:rPr>
              <w:t>SG-BDP – Sistema de Gestión de Solicitudes de Crédito</w:t>
            </w:r>
          </w:p>
        </w:tc>
      </w:tr>
      <w:tr w:rsidR="00266FCE" w14:paraId="5E4DE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A78C5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7DE74" w14:textId="77777777" w:rsidR="00266FCE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266FCE" w14:paraId="0807F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DD7F0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1FD1C" w14:textId="77777777" w:rsidR="00266FCE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266FCE" w14:paraId="2238F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A3850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Stack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F27DC" w14:textId="77777777" w:rsidR="00266FCE" w:rsidRDefault="00000000">
            <w:r>
              <w:rPr>
                <w:sz w:val="20"/>
                <w:szCs w:val="20"/>
              </w:rPr>
              <w:t>Node.js · Express · JWT · PostgreSQL</w:t>
            </w:r>
          </w:p>
        </w:tc>
      </w:tr>
      <w:tr w:rsidR="00266FCE" w14:paraId="1AA97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F0985" w14:textId="77777777" w:rsidR="00266FCE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D2B0D" w14:textId="77777777" w:rsidR="00266FCE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2173365" w14:textId="77777777" w:rsidR="00266FCE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7F1B9210" w14:textId="77777777" w:rsidR="00266FCE" w:rsidRDefault="00000000">
      <w:r>
        <w:br w:type="page"/>
      </w:r>
    </w:p>
    <w:p w14:paraId="5FBF7110" w14:textId="77777777" w:rsidR="00266FCE" w:rsidRDefault="00266FCE">
      <w:pPr>
        <w:sectPr w:rsidR="00266F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615964" w14:textId="77777777" w:rsidR="00266FCE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07AF1E5C" w14:textId="77777777" w:rsidR="00266FCE" w:rsidRDefault="00266FCE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982223895"/>
      </w:sdtPr>
      <w:sdtContent>
        <w:p w14:paraId="40B434F5" w14:textId="6DDA4AB2" w:rsidR="008B0890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951" w:history="1">
            <w:r w:rsidR="008B0890" w:rsidRPr="009E33AD">
              <w:rPr>
                <w:rStyle w:val="Hipervnculo"/>
                <w:noProof/>
              </w:rPr>
              <w:t>1. Introducción</w:t>
            </w:r>
            <w:r w:rsidR="008B0890">
              <w:rPr>
                <w:noProof/>
              </w:rPr>
              <w:tab/>
            </w:r>
            <w:r w:rsidR="008B0890">
              <w:rPr>
                <w:noProof/>
              </w:rPr>
              <w:fldChar w:fldCharType="begin"/>
            </w:r>
            <w:r w:rsidR="008B0890">
              <w:rPr>
                <w:noProof/>
              </w:rPr>
              <w:instrText xml:space="preserve"> PAGEREF _Toc232275951 \h </w:instrText>
            </w:r>
            <w:r w:rsidR="008B0890">
              <w:rPr>
                <w:noProof/>
              </w:rPr>
            </w:r>
            <w:r w:rsidR="008B0890">
              <w:rPr>
                <w:noProof/>
              </w:rPr>
              <w:fldChar w:fldCharType="separate"/>
            </w:r>
            <w:r w:rsidR="008B0890">
              <w:rPr>
                <w:noProof/>
              </w:rPr>
              <w:t>3</w:t>
            </w:r>
            <w:r w:rsidR="008B0890">
              <w:rPr>
                <w:noProof/>
              </w:rPr>
              <w:fldChar w:fldCharType="end"/>
            </w:r>
          </w:hyperlink>
        </w:p>
        <w:p w14:paraId="5C606D33" w14:textId="77123B43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2" w:history="1">
            <w:r w:rsidRPr="009E33AD">
              <w:rPr>
                <w:rStyle w:val="Hipervnculo"/>
                <w:noProof/>
              </w:rPr>
              <w:t>1.1.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4A2154" w14:textId="55C1BC7B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3" w:history="1">
            <w:r w:rsidRPr="009E33AD">
              <w:rPr>
                <w:rStyle w:val="Hipervnculo"/>
                <w:noProof/>
              </w:rPr>
              <w:t>2. Funcionalidades Desarrolladas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ED91A0" w14:textId="3CEB3546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4" w:history="1">
            <w:r w:rsidRPr="009E33AD">
              <w:rPr>
                <w:rStyle w:val="Hipervnculo"/>
                <w:noProof/>
              </w:rPr>
              <w:t>3. Motor de Scoring — calcularScore()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F84F37" w14:textId="6C49E344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5" w:history="1">
            <w:r w:rsidRPr="009E33AD">
              <w:rPr>
                <w:rStyle w:val="Hipervnculo"/>
                <w:noProof/>
              </w:rPr>
              <w:t>3.1. Factores y ponderación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03AB45" w14:textId="517076F5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6" w:history="1">
            <w:r w:rsidRPr="009E33AD">
              <w:rPr>
                <w:rStyle w:val="Hipervnculo"/>
                <w:noProof/>
              </w:rPr>
              <w:t>3.2.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CE8269" w14:textId="5CE1A4A5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7" w:history="1">
            <w:r w:rsidRPr="009E33AD">
              <w:rPr>
                <w:rStyle w:val="Hipervnculo"/>
                <w:noProof/>
              </w:rPr>
              <w:t>4.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6DB1DC" w14:textId="6BD54A55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8" w:history="1">
            <w:r w:rsidRPr="009E33AD">
              <w:rPr>
                <w:rStyle w:val="Hipervnculo"/>
                <w:noProof/>
              </w:rPr>
              <w:t>4.1.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4D3C35" w14:textId="1CBEE3E5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9" w:history="1">
            <w:r w:rsidRPr="009E33AD">
              <w:rPr>
                <w:rStyle w:val="Hipervnculo"/>
                <w:noProof/>
              </w:rPr>
              <w:t>5. API REST del Servicio de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0B9DB0" w14:textId="536993DC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0" w:history="1">
            <w:r w:rsidRPr="009E33AD">
              <w:rPr>
                <w:rStyle w:val="Hipervnculo"/>
                <w:noProof/>
              </w:rPr>
              <w:t>5.1.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AD3A04" w14:textId="65AA9237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1" w:history="1">
            <w:r w:rsidRPr="009E33AD">
              <w:rPr>
                <w:rStyle w:val="Hipervnculo"/>
                <w:noProof/>
              </w:rPr>
              <w:t>5.2. Middleware de autenticación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974D18" w14:textId="449128F5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2" w:history="1">
            <w:r w:rsidRPr="009E33AD">
              <w:rPr>
                <w:rStyle w:val="Hipervnculo"/>
                <w:noProof/>
              </w:rPr>
              <w:t>5.3. Endpoint de evaluación (ejemplo)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7580EB" w14:textId="3070A3BF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3" w:history="1">
            <w:r w:rsidRPr="009E33AD">
              <w:rPr>
                <w:rStyle w:val="Hipervnculo"/>
                <w:noProof/>
              </w:rPr>
              <w:t>6. Evidencia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DF70C5" w14:textId="6B121EB6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4" w:history="1">
            <w:r w:rsidRPr="009E33AD">
              <w:rPr>
                <w:rStyle w:val="Hipervnculo"/>
                <w:noProof/>
              </w:rPr>
              <w:t>6.1. Resultado de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F5EE49" w14:textId="43B5379C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5" w:history="1">
            <w:r w:rsidRPr="009E33AD">
              <w:rPr>
                <w:rStyle w:val="Hipervnculo"/>
                <w:noProof/>
              </w:rPr>
              <w:t>6.2. Resultado del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C3539E" w14:textId="52B1E0CE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6" w:history="1">
            <w:r w:rsidRPr="009E33AD">
              <w:rPr>
                <w:rStyle w:val="Hipervnculo"/>
                <w:noProof/>
              </w:rPr>
              <w:t>7. Guía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B99DC" w14:textId="59BA3B7D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7" w:history="1">
            <w:r w:rsidRPr="009E33AD">
              <w:rPr>
                <w:rStyle w:val="Hipervnculo"/>
                <w:noProof/>
              </w:rPr>
              <w:t>7.1.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FA4F02" w14:textId="1E8B595C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8" w:history="1">
            <w:r w:rsidRPr="009E33AD">
              <w:rPr>
                <w:rStyle w:val="Hipervnculo"/>
                <w:noProof/>
              </w:rPr>
              <w:t>7.2. Registrar una solicitud (Oficial de Crédito)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B5E182" w14:textId="27E6789D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9" w:history="1">
            <w:r w:rsidRPr="009E33AD">
              <w:rPr>
                <w:rStyle w:val="Hipervnculo"/>
                <w:noProof/>
              </w:rPr>
              <w:t>7.3. Evaluar finanzas y scoring (Oficial de Crédito)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9913B7" w14:textId="5CADC386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0" w:history="1">
            <w:r w:rsidRPr="009E33AD">
              <w:rPr>
                <w:rStyle w:val="Hipervnculo"/>
                <w:noProof/>
              </w:rPr>
              <w:t>7.4. Aprobar o rechazar (Analista de Riesgo)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962500" w14:textId="67540882" w:rsidR="008B0890" w:rsidRDefault="008B089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1" w:history="1">
            <w:r w:rsidRPr="009E33AD">
              <w:rPr>
                <w:rStyle w:val="Hipervnculo"/>
                <w:noProof/>
              </w:rPr>
              <w:t>7.5. Consultar estado (Cliente)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1662D1" w14:textId="67680EA9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2" w:history="1">
            <w:r w:rsidRPr="009E33AD">
              <w:rPr>
                <w:rStyle w:val="Hipervnculo"/>
                <w:noProof/>
              </w:rPr>
              <w:t>8. Plataforma Responsiva y en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D9C279" w14:textId="1CD84ADA" w:rsidR="008B0890" w:rsidRDefault="008B08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3" w:history="1">
            <w:r w:rsidRPr="009E33AD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6470C5" w14:textId="0D064792" w:rsidR="00266FCE" w:rsidRDefault="00000000">
          <w:r>
            <w:fldChar w:fldCharType="end"/>
          </w:r>
        </w:p>
      </w:sdtContent>
    </w:sdt>
    <w:p w14:paraId="7E470E0E" w14:textId="77777777" w:rsidR="00266FCE" w:rsidRDefault="00000000">
      <w:pPr>
        <w:spacing w:before="200"/>
      </w:pPr>
      <w:r>
        <w:rPr>
          <w:i/>
          <w:iCs/>
          <w:color w:val="595959"/>
          <w:sz w:val="18"/>
          <w:szCs w:val="18"/>
        </w:rPr>
        <w:t>Nota: para actualizar la numeración, clic derecho sobre la tabla → Actualizar campos → Actualizar toda la tabla.</w:t>
      </w:r>
    </w:p>
    <w:p w14:paraId="06F31CC9" w14:textId="77777777" w:rsidR="00266FCE" w:rsidRDefault="00000000">
      <w:r>
        <w:br w:type="page"/>
      </w:r>
    </w:p>
    <w:p w14:paraId="37A3FB80" w14:textId="77777777" w:rsidR="00266FCE" w:rsidRDefault="00266FCE">
      <w:pPr>
        <w:sectPr w:rsidR="00266F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F424FC" w14:textId="77777777" w:rsidR="00266FCE" w:rsidRDefault="00000000">
      <w:pPr>
        <w:pStyle w:val="Ttulo1"/>
      </w:pPr>
      <w:bookmarkStart w:id="0" w:name="_Toc232275951"/>
      <w:r>
        <w:lastRenderedPageBreak/>
        <w:t>1. Introducción</w:t>
      </w:r>
      <w:bookmarkEnd w:id="0"/>
    </w:p>
    <w:p w14:paraId="393B95F6" w14:textId="77777777" w:rsidR="00266FCE" w:rsidRDefault="00266FCE">
      <w:pPr>
        <w:pBdr>
          <w:bottom w:val="single" w:sz="6" w:space="1" w:color="2E75B6"/>
        </w:pBdr>
        <w:spacing w:after="120"/>
      </w:pPr>
    </w:p>
    <w:p w14:paraId="3DF4E3F8" w14:textId="77777777" w:rsidR="00266FCE" w:rsidRDefault="00000000">
      <w:pPr>
        <w:spacing w:after="120" w:line="276" w:lineRule="auto"/>
        <w:jc w:val="both"/>
      </w:pPr>
      <w:r>
        <w:t>El presente documento constituye la Segunda Entrega de la consultoría para la digitalización del proceso crediticio PYME y Banca Empresa del BDP – S.A.M., en el marco de la Licitación Pública Nº 04/2023.</w:t>
      </w:r>
    </w:p>
    <w:p w14:paraId="76DA869E" w14:textId="77777777" w:rsidR="00266FCE" w:rsidRDefault="00000000">
      <w:pPr>
        <w:spacing w:after="120" w:line="276" w:lineRule="auto"/>
        <w:jc w:val="both"/>
      </w:pPr>
      <w:r>
        <w:t>Conforme a los Términos de Referencia, esta entrega comprende hasta los 80 días hábiles de firmado el contrato e incluye: el desarrollo de las principales funcionalidades del sistema, el informe/guía de usuario con las funcionalidades desarrolladas, la plataforma en fase de revisión y la plataforma responsiva.</w:t>
      </w:r>
    </w:p>
    <w:p w14:paraId="386B6052" w14:textId="77777777" w:rsidR="00266FCE" w:rsidRDefault="00000000">
      <w:pPr>
        <w:spacing w:after="120" w:line="276" w:lineRule="auto"/>
        <w:jc w:val="both"/>
      </w:pPr>
      <w:r>
        <w:t>Las funcionalidades desarrolladas se sustentan en el análisis funcional de la Primera Entrega y materializan el núcleo del proceso crediticio: registro de solicitudes, evaluación financiera, motor de scoring, gestión de garantías y decisión de aprobación.</w:t>
      </w:r>
    </w:p>
    <w:p w14:paraId="0A5B0CA0" w14:textId="77777777" w:rsidR="00266FCE" w:rsidRDefault="00000000">
      <w:pPr>
        <w:pStyle w:val="Ttulo2"/>
      </w:pPr>
      <w:bookmarkStart w:id="1" w:name="_Toc232275952"/>
      <w:r>
        <w:t>1.1. Stack tecnológico</w:t>
      </w:r>
      <w:bookmarkEnd w:id="1"/>
    </w:p>
    <w:p w14:paraId="61FFF9A4" w14:textId="77777777" w:rsidR="00266FCE" w:rsidRDefault="00000000">
      <w:pPr>
        <w:spacing w:after="120" w:line="276" w:lineRule="auto"/>
        <w:jc w:val="both"/>
      </w:pPr>
      <w:r>
        <w:t>El desarrollo se realiza con un stack alineado a los lineamientos del TDR (API REST, JWT, JSON, motores Oracle/PostgreSQL):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6FCE" w14:paraId="2B1D0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8E62A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2AE14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Tecnología</w:t>
            </w:r>
          </w:p>
        </w:tc>
      </w:tr>
      <w:tr w:rsidR="00266FCE" w14:paraId="125F3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5E9D5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84582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Aplicación web responsiva (SPA).</w:t>
            </w:r>
          </w:p>
        </w:tc>
      </w:tr>
      <w:tr w:rsidR="00266FCE" w14:paraId="2285C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C9C6B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A25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Node.js + Express (servicio de solicitudes).</w:t>
            </w:r>
          </w:p>
        </w:tc>
      </w:tr>
      <w:tr w:rsidR="00266FCE" w14:paraId="78497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C5721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74A4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JWT (Bearer token) bajo esquema Zero Trust con MFA.</w:t>
            </w:r>
          </w:p>
        </w:tc>
      </w:tr>
      <w:tr w:rsidR="00266FCE" w14:paraId="0221E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F4BFD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2F8DC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PostgreSQL (compatible con Oracle según TDR).</w:t>
            </w:r>
          </w:p>
        </w:tc>
      </w:tr>
      <w:tr w:rsidR="00266FCE" w14:paraId="6F45D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ADC0E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8EE96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 REST · JSON · principio HATEOAS.</w:t>
            </w:r>
          </w:p>
        </w:tc>
      </w:tr>
    </w:tbl>
    <w:p w14:paraId="73ADF4DB" w14:textId="77777777" w:rsidR="00266FCE" w:rsidRDefault="00000000">
      <w:pPr>
        <w:pStyle w:val="Ttulo1"/>
      </w:pPr>
      <w:bookmarkStart w:id="2" w:name="_Toc232275953"/>
      <w:r>
        <w:t>2. Funcionalidades Desarrolladas</w:t>
      </w:r>
      <w:bookmarkEnd w:id="2"/>
    </w:p>
    <w:p w14:paraId="73975F34" w14:textId="77777777" w:rsidR="00266FCE" w:rsidRDefault="00266FCE">
      <w:pPr>
        <w:pBdr>
          <w:bottom w:val="single" w:sz="6" w:space="1" w:color="2E75B6"/>
        </w:pBdr>
        <w:spacing w:after="120"/>
      </w:pPr>
    </w:p>
    <w:p w14:paraId="112C5298" w14:textId="77777777" w:rsidR="00266FCE" w:rsidRDefault="00000000">
      <w:pPr>
        <w:spacing w:after="120" w:line="276" w:lineRule="auto"/>
        <w:jc w:val="both"/>
      </w:pPr>
      <w:r>
        <w:t>En esta entrega se desarrollaron las principales funcionalidades del núcleo crediticio. El siguiente cuadro las resume con su estado: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 w:rsidR="00266FCE" w14:paraId="18F04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938B4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Funcionalidad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14708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EB846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266FCE" w14:paraId="435ED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F3AE9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 MFA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3D4E9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Login con segundo factor y control por rol.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BC76F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266FCE" w14:paraId="699FF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2B7C4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Registro de Solicitud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0A32E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 de solicitud y datos del cliente.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8118C4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266FCE" w14:paraId="0794D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ABA24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Evaluación Financiera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3B86B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 ratios y comparación con benchmark.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6A356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266FCE" w14:paraId="09A6EC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E75E2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Motor de Scoring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D51E5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 puntaje (0-1000) y categoría de riesgo.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B7C29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266FCE" w14:paraId="2A945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2F3D4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0E854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Registro, tasación y cobertura (LTV).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DAFF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 revisión</w:t>
            </w:r>
          </w:p>
        </w:tc>
      </w:tr>
      <w:tr w:rsidR="00266FCE" w14:paraId="46FF2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C2792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Decisión de Crédito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6D6AA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/ rechazo por el analista.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634AB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266FCE" w14:paraId="2C57C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9C7B4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Consulta de Estado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F2460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del proceso por el cliente.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34480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</w:tbl>
    <w:p w14:paraId="3DE99B61" w14:textId="77777777" w:rsidR="00266FCE" w:rsidRDefault="00266FCE">
      <w:pPr>
        <w:pageBreakBefore/>
      </w:pPr>
    </w:p>
    <w:p w14:paraId="45FAB620" w14:textId="77777777" w:rsidR="00266FCE" w:rsidRDefault="00000000">
      <w:pPr>
        <w:pStyle w:val="Ttulo1"/>
      </w:pPr>
      <w:bookmarkStart w:id="3" w:name="_Toc232275954"/>
      <w:r>
        <w:t>3. Motor de Scoring — calcularScore()</w:t>
      </w:r>
      <w:bookmarkEnd w:id="3"/>
    </w:p>
    <w:p w14:paraId="3E29B3F4" w14:textId="77777777" w:rsidR="00266FCE" w:rsidRDefault="00266FCE">
      <w:pPr>
        <w:pBdr>
          <w:bottom w:val="single" w:sz="6" w:space="1" w:color="2E75B6"/>
        </w:pBdr>
        <w:spacing w:after="120"/>
      </w:pPr>
    </w:p>
    <w:p w14:paraId="60E978AC" w14:textId="77777777" w:rsidR="00266FCE" w:rsidRDefault="00000000">
      <w:pPr>
        <w:spacing w:after="120" w:line="276" w:lineRule="auto"/>
        <w:jc w:val="both"/>
      </w:pPr>
      <w:r>
        <w:t>El motor de scoring calcula el puntaje crediticio sobre una escala de 0 a 1000, ponderando cinco factores conforme al prototipo SG-BDP.</w:t>
      </w:r>
    </w:p>
    <w:p w14:paraId="77C740F0" w14:textId="77777777" w:rsidR="00266FCE" w:rsidRDefault="00000000">
      <w:pPr>
        <w:pStyle w:val="Ttulo2"/>
      </w:pPr>
      <w:bookmarkStart w:id="4" w:name="_Toc232275955"/>
      <w:r>
        <w:t>3.1. Factores y ponderación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266FCE" w14:paraId="7609D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32AF4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Factor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39E8C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Ponderación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6146A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266FCE" w14:paraId="4515E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E6C49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Historial Crediticio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D21A1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35 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01A19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Historial de pagos y morosidad.</w:t>
            </w:r>
          </w:p>
        </w:tc>
      </w:tr>
      <w:tr w:rsidR="00266FCE" w14:paraId="062A9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58EF6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Capacidad de Pago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A7838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30 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2B1C4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Ratios financieros e ingresos.</w:t>
            </w:r>
          </w:p>
        </w:tc>
      </w:tr>
      <w:tr w:rsidR="00266FCE" w14:paraId="55D5B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363EA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Garantías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CDFF9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20 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936BE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Cobertura y LTV de las garantías.</w:t>
            </w:r>
          </w:p>
        </w:tc>
      </w:tr>
      <w:tr w:rsidR="00266FCE" w14:paraId="756BA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657C6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Antigüedad del Cliente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1F7A2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10 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5DE3D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Tiempo de relación con el banco.</w:t>
            </w:r>
          </w:p>
        </w:tc>
      </w:tr>
      <w:tr w:rsidR="00266FCE" w14:paraId="3C87A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8C821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Sector Económico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2750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5 pts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05B9F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Nivel de riesgo del sector.</w:t>
            </w:r>
          </w:p>
        </w:tc>
      </w:tr>
    </w:tbl>
    <w:p w14:paraId="3A2821FC" w14:textId="77777777" w:rsidR="00266FCE" w:rsidRDefault="00000000">
      <w:pPr>
        <w:pStyle w:val="Ttulo2"/>
      </w:pPr>
      <w:bookmarkStart w:id="5" w:name="_Toc232275956"/>
      <w:r>
        <w:t>3.2. Código fuente</w:t>
      </w:r>
      <w:bookmarkEnd w:id="5"/>
    </w:p>
    <w:p w14:paraId="30ACA0AE" w14:textId="77777777" w:rsidR="00266FCE" w:rsidRDefault="00000000">
      <w:pPr>
        <w:spacing w:after="120" w:line="276" w:lineRule="auto"/>
        <w:jc w:val="both"/>
      </w:pPr>
      <w:r>
        <w:t>Función principal del cálculo de scoring: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1169E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9D0EC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 calcularScore(datos) {</w:t>
            </w:r>
          </w:p>
          <w:p w14:paraId="494C9A6B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{ historialCrediticio, capacidadPago, garantias,</w:t>
            </w:r>
          </w:p>
          <w:p w14:paraId="1ACCE89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antiguedadCliente, sectorEconomico } = datos;</w:t>
            </w:r>
          </w:p>
          <w:p w14:paraId="4202D98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025F8AC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puntos = {</w:t>
            </w:r>
          </w:p>
          <w:p w14:paraId="265C98E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historialCrediticio: historialCrediticio * 35,</w:t>
            </w:r>
          </w:p>
          <w:p w14:paraId="4962221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capacidadPago:       capacidadPago       * 30,</w:t>
            </w:r>
          </w:p>
          <w:p w14:paraId="54C1E2B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garantias:           garantias           * 20,</w:t>
            </w:r>
          </w:p>
          <w:p w14:paraId="2D230F4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antiguedadCliente:   antiguedadCliente   * 10,</w:t>
            </w:r>
          </w:p>
          <w:p w14:paraId="350CC76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sectorEconomico:     sectorEconomico     * 5,</w:t>
            </w:r>
          </w:p>
          <w:p w14:paraId="464A298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262931C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totalPts = Object.values(puntos).reduce((a,b)=&gt;a+b, 0);</w:t>
            </w:r>
          </w:p>
          <w:p w14:paraId="1568AA6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score = Math.round(totalPts * 10); // escala 0-1000</w:t>
            </w:r>
          </w:p>
          <w:p w14:paraId="6B5D9026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7F6FE921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{</w:t>
            </w:r>
          </w:p>
          <w:p w14:paraId="034F836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score,</w:t>
            </w:r>
          </w:p>
          <w:p w14:paraId="1C7126B1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categoria: categoriaRiesgo(score),</w:t>
            </w:r>
          </w:p>
          <w:p w14:paraId="3BE61C16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recomendacion: score &gt;= 600 ? "APROBAR" : "RECHAZAR",</w:t>
            </w:r>
          </w:p>
          <w:p w14:paraId="05D042E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detalleFactores: puntos,</w:t>
            </w:r>
          </w:p>
          <w:p w14:paraId="21A423C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30FDBDD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266C662A" w14:textId="77777777" w:rsidR="00266FCE" w:rsidRDefault="00266FCE">
      <w:pPr>
        <w:spacing w:after="120"/>
      </w:pPr>
    </w:p>
    <w:p w14:paraId="279820D1" w14:textId="77777777" w:rsidR="00266FCE" w:rsidRDefault="00000000">
      <w:pPr>
        <w:spacing w:after="120" w:line="276" w:lineRule="auto"/>
        <w:jc w:val="both"/>
      </w:pPr>
      <w:r>
        <w:t>Determinación de la categoría de riesgo: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5B6A3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2FB75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 categoriaRiesgo(score) {</w:t>
            </w:r>
          </w:p>
          <w:p w14:paraId="4B98332E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if (score &gt;= 700) return "BAJO";</w:t>
            </w:r>
          </w:p>
          <w:p w14:paraId="28F0519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if (score &gt;= 500) return "MEDIO";</w:t>
            </w:r>
          </w:p>
          <w:p w14:paraId="2677CF13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"ALTO";</w:t>
            </w:r>
          </w:p>
          <w:p w14:paraId="5D4FD9F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13C04439" w14:textId="77777777" w:rsidR="00266FCE" w:rsidRDefault="00266FCE">
      <w:pPr>
        <w:pageBreakBefore/>
      </w:pPr>
    </w:p>
    <w:p w14:paraId="5205F87A" w14:textId="77777777" w:rsidR="00266FCE" w:rsidRDefault="00000000">
      <w:pPr>
        <w:pStyle w:val="Ttulo1"/>
      </w:pPr>
      <w:bookmarkStart w:id="6" w:name="_Toc232275957"/>
      <w:r>
        <w:t>4. Evaluación Financiera</w:t>
      </w:r>
      <w:bookmarkEnd w:id="6"/>
    </w:p>
    <w:p w14:paraId="4A1A3BE2" w14:textId="77777777" w:rsidR="00266FCE" w:rsidRDefault="00266FCE">
      <w:pPr>
        <w:pBdr>
          <w:bottom w:val="single" w:sz="6" w:space="1" w:color="2E75B6"/>
        </w:pBdr>
        <w:spacing w:after="120"/>
      </w:pPr>
    </w:p>
    <w:p w14:paraId="6B782597" w14:textId="77777777" w:rsidR="00266FCE" w:rsidRDefault="00000000">
      <w:pPr>
        <w:spacing w:after="120" w:line="276" w:lineRule="auto"/>
        <w:jc w:val="both"/>
      </w:pPr>
      <w:r>
        <w:t>El módulo de evaluación financiera calcula los ratios del solicitante y los compara con los mínimos requeridos (benchmark) del prototipo.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266FCE" w14:paraId="2C6AC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6FF8C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Ratio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69B10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Fórmula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7A2BB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Benchmark</w:t>
            </w:r>
          </w:p>
        </w:tc>
      </w:tr>
      <w:tr w:rsidR="00266FCE" w14:paraId="3A0AD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793A4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Liquidez Corriente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7BCF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Activo Corriente / Pasivo Corriente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92707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≥ 1.5</w:t>
            </w:r>
          </w:p>
        </w:tc>
      </w:tr>
      <w:tr w:rsidR="00266FCE" w14:paraId="03FB0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AEA3A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Índice de Solvencia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88006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Activo Total / Pasivo Total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42E8F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≥ 1.5</w:t>
            </w:r>
          </w:p>
        </w:tc>
      </w:tr>
      <w:tr w:rsidR="00266FCE" w14:paraId="142200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32146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ICC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06475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Cuota Mensual / Ingresos Mensuales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A90CE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≤ 0.4</w:t>
            </w:r>
          </w:p>
        </w:tc>
      </w:tr>
      <w:tr w:rsidR="00266FCE" w14:paraId="0CA15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774BE" w14:textId="77777777" w:rsidR="00266FCE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LTV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695BC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(Monto Crédito / Valor Garantías) × 100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B18C0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≤ 80%</w:t>
            </w:r>
          </w:p>
        </w:tc>
      </w:tr>
    </w:tbl>
    <w:p w14:paraId="2428B359" w14:textId="77777777" w:rsidR="00266FCE" w:rsidRDefault="00000000">
      <w:pPr>
        <w:pStyle w:val="Ttulo2"/>
      </w:pPr>
      <w:bookmarkStart w:id="7" w:name="_Toc232275958"/>
      <w:r>
        <w:t>4.1. Código fuente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069FB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75305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 evaluarFinanzas(ef) {</w:t>
            </w:r>
          </w:p>
          <w:p w14:paraId="52CCD06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liquidezCorriente = ef.activoCorriente / ef.pasivoCorriente;</w:t>
            </w:r>
          </w:p>
          <w:p w14:paraId="1664B66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indiceSolvencia   = ef.activoTotal / ef.pasivoTotal;</w:t>
            </w:r>
          </w:p>
          <w:p w14:paraId="30B52D0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icc               = ef.cuotaMensual / ef.ingresosMensuales;</w:t>
            </w:r>
          </w:p>
          <w:p w14:paraId="318C7F0B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ltv               = (ef.montoCredito / ef.valorGarantias) * 100;</w:t>
            </w:r>
          </w:p>
          <w:p w14:paraId="75F2904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7594DD7C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{</w:t>
            </w:r>
          </w:p>
          <w:p w14:paraId="6B01D029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liquidezCorriente: cumple(liquidezCorriente, 1.5, "min"),</w:t>
            </w:r>
          </w:p>
          <w:p w14:paraId="3F9BA74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indiceSolvencia:   cumple(indiceSolvencia, 1.5, "min"),</w:t>
            </w:r>
          </w:p>
          <w:p w14:paraId="516E69A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icc:               cumple(icc, 0.4, "max"),</w:t>
            </w:r>
          </w:p>
          <w:p w14:paraId="13D6F67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ltv:               cumple(ltv, 80, "max"),</w:t>
            </w:r>
          </w:p>
          <w:p w14:paraId="38BB11AC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7BA1BB6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33EC15A2" w14:textId="77777777" w:rsidR="00266FCE" w:rsidRDefault="00000000">
      <w:pPr>
        <w:pStyle w:val="Ttulo1"/>
      </w:pPr>
      <w:bookmarkStart w:id="8" w:name="_Toc232275959"/>
      <w:r>
        <w:t>5. API REST del Servicio de Solicitudes</w:t>
      </w:r>
      <w:bookmarkEnd w:id="8"/>
    </w:p>
    <w:p w14:paraId="0306AD2A" w14:textId="77777777" w:rsidR="00266FCE" w:rsidRDefault="00266FCE">
      <w:pPr>
        <w:pBdr>
          <w:bottom w:val="single" w:sz="6" w:space="1" w:color="2E75B6"/>
        </w:pBdr>
        <w:spacing w:after="120"/>
      </w:pPr>
    </w:p>
    <w:p w14:paraId="322DD869" w14:textId="77777777" w:rsidR="00266FCE" w:rsidRDefault="00000000">
      <w:pPr>
        <w:spacing w:after="120" w:line="276" w:lineRule="auto"/>
        <w:jc w:val="both"/>
      </w:pPr>
      <w:r>
        <w:t>La API expone los endpoints del proceso crediticio bajo arquitectura RESTful, con autenticación al portador (JWT) y autorización por rol, conforme al TDR.</w:t>
      </w:r>
    </w:p>
    <w:p w14:paraId="23D3F7CF" w14:textId="77777777" w:rsidR="00266FCE" w:rsidRDefault="00000000">
      <w:pPr>
        <w:pStyle w:val="Ttulo2"/>
      </w:pPr>
      <w:bookmarkStart w:id="9" w:name="_Toc232275960"/>
      <w:r>
        <w:t>5.1. Endpoints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760"/>
        <w:gridCol w:w="1600"/>
        <w:gridCol w:w="2800"/>
      </w:tblGrid>
      <w:tr w:rsidR="00266FCE" w14:paraId="7CDEE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68B81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29C64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6A1EF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F4675" w14:textId="77777777" w:rsidR="00266FC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</w:tr>
      <w:tr w:rsidR="00266FCE" w14:paraId="0E1FA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AF428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56930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13B4B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C7273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 solicitud.</w:t>
            </w:r>
          </w:p>
        </w:tc>
      </w:tr>
      <w:tr w:rsidR="00266FCE" w14:paraId="270C2B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1B2CA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4F4E9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/api/solicitudes/:id/evaluar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43622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D85A0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Evaluar finanzas y calcular scoring.</w:t>
            </w:r>
          </w:p>
        </w:tc>
      </w:tr>
      <w:tr w:rsidR="00266FCE" w14:paraId="399517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59DC4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227F8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/api/solicitudes/:id/decision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41EAC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9948E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Aprobar o rechazar.</w:t>
            </w:r>
          </w:p>
        </w:tc>
      </w:tr>
      <w:tr w:rsidR="00266FCE" w14:paraId="336A33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9E245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A39BF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/api/solicitudes/:id/estado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63592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1EC11" w14:textId="77777777" w:rsidR="00266FCE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Consultar estado y progreso.</w:t>
            </w:r>
          </w:p>
        </w:tc>
      </w:tr>
    </w:tbl>
    <w:p w14:paraId="0C4E269C" w14:textId="77777777" w:rsidR="00266FCE" w:rsidRDefault="00000000">
      <w:pPr>
        <w:pStyle w:val="Ttulo2"/>
      </w:pPr>
      <w:bookmarkStart w:id="10" w:name="_Toc232275961"/>
      <w:r>
        <w:t>5.2. Middleware de autenticación (JWT)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73E95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2BD436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 autenticar(req, res, next) {</w:t>
            </w:r>
          </w:p>
          <w:p w14:paraId="0578F589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auth = req.headers.authorization || "";</w:t>
            </w:r>
          </w:p>
          <w:p w14:paraId="0C703B0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token = auth.startsWith("Bearer ") ? auth.slice(7) : null;</w:t>
            </w:r>
          </w:p>
          <w:p w14:paraId="489610A1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 xml:space="preserve">  if (!token) return res.status(401).json({ error: "Token requerido" });</w:t>
            </w:r>
          </w:p>
          <w:p w14:paraId="4008BF17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try {</w:t>
            </w:r>
          </w:p>
          <w:p w14:paraId="2A979D97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req.usuario = jwt.verify(token, SECRET);</w:t>
            </w:r>
          </w:p>
          <w:p w14:paraId="1585613B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next();</w:t>
            </w:r>
          </w:p>
          <w:p w14:paraId="38EFD0D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 catch {</w:t>
            </w:r>
          </w:p>
          <w:p w14:paraId="632B17ED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return res.status(401).json({ error: "Token inválido o expirado" });</w:t>
            </w:r>
          </w:p>
          <w:p w14:paraId="0741C0C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</w:t>
            </w:r>
          </w:p>
          <w:p w14:paraId="008E7349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5B0E3D94" w14:textId="77777777" w:rsidR="00266FCE" w:rsidRDefault="00266FCE">
      <w:pPr>
        <w:spacing w:after="120"/>
      </w:pPr>
    </w:p>
    <w:p w14:paraId="4C5D3BFE" w14:textId="77777777" w:rsidR="00266FCE" w:rsidRDefault="00000000">
      <w:pPr>
        <w:pStyle w:val="Ttulo2"/>
      </w:pPr>
      <w:bookmarkStart w:id="11" w:name="_Toc232275962"/>
      <w:r>
        <w:t>5.3. Endpoint de evaluación (ejemplo)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0A818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D36853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router.post("/solicitudes/:id/evaluar",</w:t>
            </w:r>
          </w:p>
          <w:p w14:paraId="5C5604F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autenticar, autorizar("oficial"), (req, res) =&gt; {</w:t>
            </w:r>
          </w:p>
          <w:p w14:paraId="6B08E57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const ratios = evaluarFinanzas(req.body.financieros);</w:t>
            </w:r>
          </w:p>
          <w:p w14:paraId="4F573A5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const score = calcularScore({</w:t>
            </w:r>
          </w:p>
          <w:p w14:paraId="6065825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historialCrediticio: req.body.historialCrediticio,</w:t>
            </w:r>
          </w:p>
          <w:p w14:paraId="3146AEBB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capacidadPago: capacidadPagoNormalizada(ratios),</w:t>
            </w:r>
          </w:p>
          <w:p w14:paraId="7FAA155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garantias: req.body.garantias,</w:t>
            </w:r>
          </w:p>
          <w:p w14:paraId="3B00DF61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antiguedadCliente: req.body.antiguedadCliente,</w:t>
            </w:r>
          </w:p>
          <w:p w14:paraId="2B8657FE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sectorEconomico: req.body.sectorEconomico,</w:t>
            </w:r>
          </w:p>
          <w:p w14:paraId="5BEA774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});</w:t>
            </w:r>
          </w:p>
          <w:p w14:paraId="4CEDB32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res.json({ ratios, scoring: score, estado: "Scoring Crediticio" });</w:t>
            </w:r>
          </w:p>
          <w:p w14:paraId="55FDF3D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340A2329" w14:textId="77777777" w:rsidR="00266FCE" w:rsidRDefault="00000000">
      <w:pPr>
        <w:pStyle w:val="Ttulo1"/>
      </w:pPr>
      <w:bookmarkStart w:id="12" w:name="_Toc232275963"/>
      <w:r>
        <w:t>6. Evidencia de Ejecución</w:t>
      </w:r>
      <w:bookmarkEnd w:id="12"/>
    </w:p>
    <w:p w14:paraId="03F3BB82" w14:textId="77777777" w:rsidR="00266FCE" w:rsidRDefault="00266FCE">
      <w:pPr>
        <w:pBdr>
          <w:bottom w:val="single" w:sz="6" w:space="1" w:color="2E75B6"/>
        </w:pBdr>
        <w:spacing w:after="120"/>
      </w:pPr>
    </w:p>
    <w:p w14:paraId="386D1503" w14:textId="77777777" w:rsidR="00266FCE" w:rsidRDefault="00000000">
      <w:pPr>
        <w:spacing w:after="120" w:line="276" w:lineRule="auto"/>
        <w:jc w:val="both"/>
      </w:pPr>
      <w:r>
        <w:t>Se ejecutaron las funcionalidades con el caso de referencia del prototipo (Empresa ABC S.A.). Los resultados reproducen los valores del prototipo, validando la lógica desarrollada.</w:t>
      </w:r>
    </w:p>
    <w:p w14:paraId="4BCBE310" w14:textId="77777777" w:rsidR="00266FCE" w:rsidRDefault="00000000">
      <w:pPr>
        <w:pStyle w:val="Ttulo2"/>
      </w:pPr>
      <w:bookmarkStart w:id="13" w:name="_Toc232275964"/>
      <w:r>
        <w:t>6.1. Resultado de evaluación financiera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51F3C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D2C7E2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=== EVALUACIÓN FINANCIERA ===</w:t>
            </w:r>
          </w:p>
          <w:p w14:paraId="1C4B1899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liquidezCorriente: 2.5  (límite min 1.5)  -&gt; CUMPLE</w:t>
            </w:r>
          </w:p>
          <w:p w14:paraId="07FB63DA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indiceSolvencia:   1.8  (límite min 1.5)  -&gt; CUMPLE</w:t>
            </w:r>
          </w:p>
          <w:p w14:paraId="5232537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icc:               0.35 (límite max 0.4)  -&gt; CUMPLE</w:t>
            </w:r>
          </w:p>
          <w:p w14:paraId="6FBA1CE7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ltv:               64.94 (límite max 80)  -&gt; CUMPLE</w:t>
            </w:r>
          </w:p>
        </w:tc>
      </w:tr>
    </w:tbl>
    <w:p w14:paraId="11363215" w14:textId="77777777" w:rsidR="00266FCE" w:rsidRDefault="00266FCE">
      <w:pPr>
        <w:spacing w:after="120"/>
      </w:pPr>
    </w:p>
    <w:p w14:paraId="672C0E6B" w14:textId="77777777" w:rsidR="00266FCE" w:rsidRDefault="00000000">
      <w:pPr>
        <w:pStyle w:val="Ttulo2"/>
      </w:pPr>
      <w:bookmarkStart w:id="14" w:name="_Toc232275965"/>
      <w:r>
        <w:t>6.2. Resultado del motor de scoring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6FCE" w14:paraId="69F70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3200F4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=== MOTOR DE SCORING ===</w:t>
            </w:r>
          </w:p>
          <w:p w14:paraId="395B619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Score:                899 /1000</w:t>
            </w:r>
          </w:p>
          <w:p w14:paraId="01BAB1C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Categoría:            BAJO</w:t>
            </w:r>
          </w:p>
          <w:p w14:paraId="7241BD7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Prob. incumplimiento: 2.5%</w:t>
            </w:r>
          </w:p>
          <w:p w14:paraId="5F0E1FE0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Recomendación:        APROBAR</w:t>
            </w:r>
          </w:p>
          <w:p w14:paraId="3BE9B435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Factores: historial 31.85 | capacidad 27 | garantías 18</w:t>
            </w:r>
          </w:p>
          <w:p w14:paraId="0FB33B4F" w14:textId="77777777" w:rsidR="00266FCE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| antigüedad 9 | sector 4</w:t>
            </w:r>
          </w:p>
        </w:tc>
      </w:tr>
    </w:tbl>
    <w:p w14:paraId="4506AAE5" w14:textId="77777777" w:rsidR="00266FCE" w:rsidRDefault="00000000">
      <w:pPr>
        <w:spacing w:after="60" w:line="276" w:lineRule="auto"/>
        <w:jc w:val="both"/>
      </w:pPr>
      <w:r>
        <w:t>La probabilidad de incumplimiento del 2.5% coincide con la mostrada en el módulo «Motor de Scoring» del prototipo, confirmando la consistencia entre el desarrollo y el diseño.</w:t>
      </w:r>
    </w:p>
    <w:p w14:paraId="2BD6F81F" w14:textId="77777777" w:rsidR="00266FCE" w:rsidRDefault="00266FCE">
      <w:pPr>
        <w:pageBreakBefore/>
      </w:pPr>
    </w:p>
    <w:p w14:paraId="70F98A6F" w14:textId="77777777" w:rsidR="00266FCE" w:rsidRDefault="00000000">
      <w:pPr>
        <w:pStyle w:val="Ttulo1"/>
      </w:pPr>
      <w:bookmarkStart w:id="15" w:name="_Toc232275966"/>
      <w:r>
        <w:t>7. Guía de Usuario</w:t>
      </w:r>
      <w:bookmarkEnd w:id="15"/>
    </w:p>
    <w:p w14:paraId="3040C7F9" w14:textId="77777777" w:rsidR="00266FCE" w:rsidRDefault="00266FCE">
      <w:pPr>
        <w:pBdr>
          <w:bottom w:val="single" w:sz="6" w:space="1" w:color="2E75B6"/>
        </w:pBdr>
        <w:spacing w:after="120"/>
      </w:pPr>
    </w:p>
    <w:p w14:paraId="40447AD7" w14:textId="77777777" w:rsidR="00266FCE" w:rsidRDefault="00000000">
      <w:pPr>
        <w:spacing w:after="120" w:line="276" w:lineRule="auto"/>
        <w:jc w:val="both"/>
      </w:pPr>
      <w:r>
        <w:t>Esta guía describe el uso de las funcionalidades desarrolladas, organizada por rol. Acompaña al producto como informe/guía de usuario requerido por el TDR.</w:t>
      </w:r>
    </w:p>
    <w:p w14:paraId="1E296CB7" w14:textId="77777777" w:rsidR="00266FCE" w:rsidRDefault="00000000">
      <w:pPr>
        <w:pStyle w:val="Ttulo2"/>
      </w:pPr>
      <w:bookmarkStart w:id="16" w:name="_Toc232275967"/>
      <w:r>
        <w:t>7.1. Acceso al sistema</w:t>
      </w:r>
      <w:bookmarkEnd w:id="16"/>
    </w:p>
    <w:p w14:paraId="363C5D75" w14:textId="77777777" w:rsidR="00266FCE" w:rsidRDefault="00000000">
      <w:pPr>
        <w:spacing w:after="120" w:line="276" w:lineRule="auto"/>
        <w:jc w:val="both"/>
      </w:pPr>
      <w:r>
        <w:t>Todos los usuarios del Portal Administrativo acceden mediante autenticación de dos factores:</w:t>
      </w:r>
    </w:p>
    <w:p w14:paraId="44DA1517" w14:textId="77777777" w:rsidR="00266FC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Ingrese su correo electrónico y contraseña en la pantalla de inicio.</w:t>
      </w:r>
    </w:p>
    <w:p w14:paraId="7D67E70C" w14:textId="77777777" w:rsidR="00266FC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El sistema enviará un código MFA de 6 dígitos a su dispositivo.</w:t>
      </w:r>
    </w:p>
    <w:p w14:paraId="1617B372" w14:textId="77777777" w:rsidR="00266FC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Ingrese el código y presione «Verificar e Ingresar».</w:t>
      </w:r>
    </w:p>
    <w:p w14:paraId="264BC819" w14:textId="77777777" w:rsidR="00266FC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El sistema lo dirigirá a su panel según su rol.</w:t>
      </w:r>
    </w:p>
    <w:p w14:paraId="44483CF3" w14:textId="77777777" w:rsidR="00266FC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04B14EB" wp14:editId="3B6E73B5">
            <wp:extent cx="3619500" cy="1571625"/>
            <wp:effectExtent l="0" t="0" r="0" b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1643" w14:textId="77777777" w:rsidR="00266FC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Pantalla de autenticación multifactor (MFA).</w:t>
      </w:r>
    </w:p>
    <w:p w14:paraId="01FDD5F8" w14:textId="77777777" w:rsidR="00266FCE" w:rsidRDefault="00000000">
      <w:pPr>
        <w:pStyle w:val="Ttulo2"/>
      </w:pPr>
      <w:bookmarkStart w:id="17" w:name="_Toc232275968"/>
      <w:r>
        <w:t>7.2. Registrar una solicitud (Oficial de Crédito)</w:t>
      </w:r>
      <w:bookmarkEnd w:id="17"/>
    </w:p>
    <w:p w14:paraId="02064578" w14:textId="77777777" w:rsidR="00266FCE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Desde el menú lateral, seleccione «Nueva Solicitud».</w:t>
      </w:r>
    </w:p>
    <w:p w14:paraId="45A3ACD1" w14:textId="77777777" w:rsidR="00266FCE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Capture los datos del cliente, del crédito (monto en Bs., plazo) y la garantía.</w:t>
      </w:r>
    </w:p>
    <w:p w14:paraId="33299C72" w14:textId="77777777" w:rsidR="00266FCE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Envíe la solicitud; el sistema la registra en estado «Solicitud Inicial».</w:t>
      </w:r>
    </w:p>
    <w:p w14:paraId="5E63A165" w14:textId="77777777" w:rsidR="00266FCE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La solicitud aparece en el Dashboard y en «Flujo del Proceso».</w:t>
      </w:r>
    </w:p>
    <w:p w14:paraId="2F3393AF" w14:textId="77777777" w:rsidR="00266FCE" w:rsidRDefault="00000000">
      <w:pPr>
        <w:pStyle w:val="Ttulo2"/>
      </w:pPr>
      <w:bookmarkStart w:id="18" w:name="_Toc232275969"/>
      <w:r>
        <w:t>7.3. Evaluar finanzas y scoring (Oficial de Crédito)</w:t>
      </w:r>
      <w:bookmarkEnd w:id="18"/>
    </w:p>
    <w:p w14:paraId="68B55AF1" w14:textId="77777777" w:rsidR="00266FCE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Abra la solicitud y vaya a «Evaluación Financiera».</w:t>
      </w:r>
    </w:p>
    <w:p w14:paraId="106EBC80" w14:textId="77777777" w:rsidR="00266FCE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Revise los ratios calculados frente a los mínimos requeridos.</w:t>
      </w:r>
    </w:p>
    <w:p w14:paraId="03423207" w14:textId="77777777" w:rsidR="00266FCE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Vaya a «Motor de Scoring» para obtener el puntaje y la recomendación.</w:t>
      </w:r>
    </w:p>
    <w:p w14:paraId="1D85DA83" w14:textId="77777777" w:rsidR="00266FC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759B5A8" wp14:editId="679AABC5">
            <wp:extent cx="5143500" cy="2390775"/>
            <wp:effectExtent l="0" t="0" r="0" b="0"/>
            <wp:docPr id="1580947192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8E43" w14:textId="77777777" w:rsidR="00266FC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Módulo «Motor de Scoring» con el puntaje y los factores.</w:t>
      </w:r>
    </w:p>
    <w:p w14:paraId="698A736F" w14:textId="77777777" w:rsidR="00266FCE" w:rsidRDefault="00000000">
      <w:pPr>
        <w:pStyle w:val="Ttulo2"/>
      </w:pPr>
      <w:bookmarkStart w:id="19" w:name="_Toc232275970"/>
      <w:r>
        <w:t>7.4. Aprobar o rechazar (Analista de Riesgo)</w:t>
      </w:r>
      <w:bookmarkEnd w:id="19"/>
    </w:p>
    <w:p w14:paraId="7F7B5405" w14:textId="77777777" w:rsidR="00266FCE" w:rsidRDefault="00000000">
      <w:pPr>
        <w:pStyle w:val="Prrafodelista"/>
        <w:numPr>
          <w:ilvl w:val="0"/>
          <w:numId w:val="5"/>
        </w:numPr>
        <w:spacing w:after="60" w:line="264" w:lineRule="auto"/>
        <w:jc w:val="both"/>
      </w:pPr>
      <w:r>
        <w:t>Revise el scoring, las observaciones del sistema y las garantías.</w:t>
      </w:r>
    </w:p>
    <w:p w14:paraId="395336D5" w14:textId="77777777" w:rsidR="00266FCE" w:rsidRDefault="00000000">
      <w:pPr>
        <w:pStyle w:val="Prrafodelista"/>
        <w:numPr>
          <w:ilvl w:val="0"/>
          <w:numId w:val="5"/>
        </w:numPr>
        <w:spacing w:after="60" w:line="264" w:lineRule="auto"/>
        <w:jc w:val="both"/>
      </w:pPr>
      <w:r>
        <w:t>Presione «Aprobar Crédito» o «Rechazar» según corresponda.</w:t>
      </w:r>
    </w:p>
    <w:p w14:paraId="486B5C53" w14:textId="77777777" w:rsidR="00266FCE" w:rsidRDefault="00000000">
      <w:pPr>
        <w:pStyle w:val="Prrafodelista"/>
        <w:numPr>
          <w:ilvl w:val="0"/>
          <w:numId w:val="5"/>
        </w:numPr>
        <w:spacing w:after="60" w:line="264" w:lineRule="auto"/>
        <w:jc w:val="both"/>
      </w:pPr>
      <w:r>
        <w:t>El sistema registra la decisión y, si se aprueba, habilita el desembolso.</w:t>
      </w:r>
    </w:p>
    <w:p w14:paraId="59C1B8EA" w14:textId="77777777" w:rsidR="00266FCE" w:rsidRDefault="00000000">
      <w:pPr>
        <w:pStyle w:val="Ttulo2"/>
      </w:pPr>
      <w:bookmarkStart w:id="20" w:name="_Toc232275971"/>
      <w:r>
        <w:t>7.5. Consultar estado (Cliente)</w:t>
      </w:r>
      <w:bookmarkEnd w:id="20"/>
    </w:p>
    <w:p w14:paraId="77DFBDE6" w14:textId="77777777" w:rsidR="00266FCE" w:rsidRDefault="00000000">
      <w:pPr>
        <w:pStyle w:val="Prrafodelista"/>
        <w:numPr>
          <w:ilvl w:val="0"/>
          <w:numId w:val="6"/>
        </w:numPr>
        <w:spacing w:after="60" w:line="264" w:lineRule="auto"/>
        <w:jc w:val="both"/>
      </w:pPr>
      <w:r>
        <w:t>Acceda al Portal Cliente con su CI/NIT y código de acceso.</w:t>
      </w:r>
    </w:p>
    <w:p w14:paraId="5D85190A" w14:textId="77777777" w:rsidR="00266FCE" w:rsidRDefault="00000000">
      <w:pPr>
        <w:pStyle w:val="Prrafodelista"/>
        <w:numPr>
          <w:ilvl w:val="0"/>
          <w:numId w:val="6"/>
        </w:numPr>
        <w:spacing w:after="60" w:line="264" w:lineRule="auto"/>
        <w:jc w:val="both"/>
      </w:pPr>
      <w:r>
        <w:t>En «Mis Solicitudes», revise el estado, el paso actual y el progreso.</w:t>
      </w:r>
    </w:p>
    <w:p w14:paraId="561E7178" w14:textId="77777777" w:rsidR="00266FCE" w:rsidRDefault="00000000">
      <w:pPr>
        <w:pStyle w:val="Prrafodelista"/>
        <w:numPr>
          <w:ilvl w:val="0"/>
          <w:numId w:val="6"/>
        </w:numPr>
        <w:spacing w:after="60" w:line="264" w:lineRule="auto"/>
        <w:jc w:val="both"/>
      </w:pPr>
      <w:r>
        <w:t>En «Mis Créditos», consulte cuotas; en «Documentos», suba pendientes.</w:t>
      </w:r>
    </w:p>
    <w:p w14:paraId="68F3E474" w14:textId="77777777" w:rsidR="00266FC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3BC982F" wp14:editId="652700F7">
            <wp:extent cx="5143500" cy="2295525"/>
            <wp:effectExtent l="0" t="0" r="0" b="0"/>
            <wp:docPr id="185293110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2A80" w14:textId="77777777" w:rsidR="00266FC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3. Portal Cliente — «Mis Solicitudes».</w:t>
      </w:r>
    </w:p>
    <w:p w14:paraId="08BB7414" w14:textId="77777777" w:rsidR="00266FCE" w:rsidRDefault="00266FCE">
      <w:pPr>
        <w:pageBreakBefore/>
      </w:pPr>
    </w:p>
    <w:p w14:paraId="1A60D53F" w14:textId="77777777" w:rsidR="00266FCE" w:rsidRDefault="00000000">
      <w:pPr>
        <w:pStyle w:val="Ttulo1"/>
      </w:pPr>
      <w:bookmarkStart w:id="21" w:name="_Toc232275972"/>
      <w:r>
        <w:t>8. Plataforma Responsiva y en Revisión</w:t>
      </w:r>
      <w:bookmarkEnd w:id="21"/>
    </w:p>
    <w:p w14:paraId="0FE18B49" w14:textId="77777777" w:rsidR="00266FCE" w:rsidRDefault="00266FCE">
      <w:pPr>
        <w:pBdr>
          <w:bottom w:val="single" w:sz="6" w:space="1" w:color="2E75B6"/>
        </w:pBdr>
        <w:spacing w:after="120"/>
      </w:pPr>
    </w:p>
    <w:p w14:paraId="5AA9283D" w14:textId="77777777" w:rsidR="00266FCE" w:rsidRDefault="00000000">
      <w:pPr>
        <w:spacing w:after="120" w:line="276" w:lineRule="auto"/>
        <w:jc w:val="both"/>
      </w:pPr>
      <w:r>
        <w:t>La plataforma se desarrolló con diseño responsivo, adaptándose a distintos tamaños de pantalla (escritorio, tablet y móvil). En esta entrega, la plataforma se encuentra en fase de revisión, lo que permite recoger la retroalimentación de la contraparte del BDP – S.A.M. antes de continuar con el desarrollo de las funcionalidades restantes.</w:t>
      </w:r>
    </w:p>
    <w:p w14:paraId="26799942" w14:textId="77777777" w:rsidR="00266FCE" w:rsidRDefault="00000000">
      <w:pPr>
        <w:pStyle w:val="Prrafodelista"/>
        <w:numPr>
          <w:ilvl w:val="0"/>
          <w:numId w:val="7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Responsividad: </w:t>
      </w:r>
      <w:r>
        <w:t>los componentes se reorganizan automáticamente según el ancho del dispositivo.</w:t>
      </w:r>
    </w:p>
    <w:p w14:paraId="21F93E70" w14:textId="77777777" w:rsidR="00266FCE" w:rsidRDefault="00000000">
      <w:pPr>
        <w:pStyle w:val="Prrafodelista"/>
        <w:numPr>
          <w:ilvl w:val="0"/>
          <w:numId w:val="7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Compatibilidad: </w:t>
      </w:r>
      <w:r>
        <w:t>compatible con navegadores modernos (Chrome, Firefox, Edge, Safari).</w:t>
      </w:r>
    </w:p>
    <w:p w14:paraId="71DD10C6" w14:textId="77777777" w:rsidR="00266FCE" w:rsidRDefault="00000000">
      <w:pPr>
        <w:pStyle w:val="Prrafodelista"/>
        <w:numPr>
          <w:ilvl w:val="0"/>
          <w:numId w:val="7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Revisión: </w:t>
      </w:r>
      <w:r>
        <w:t>la plataforma queda disponible para revisión y observaciones del banco.</w:t>
      </w:r>
    </w:p>
    <w:p w14:paraId="48D95DB6" w14:textId="77777777" w:rsidR="00266FCE" w:rsidRDefault="00000000">
      <w:pPr>
        <w:pStyle w:val="Ttulo1"/>
      </w:pPr>
      <w:bookmarkStart w:id="22" w:name="_Toc232275973"/>
      <w:r>
        <w:t>9. Conclusiones</w:t>
      </w:r>
      <w:bookmarkEnd w:id="22"/>
    </w:p>
    <w:p w14:paraId="55ECEA9B" w14:textId="77777777" w:rsidR="00266FCE" w:rsidRDefault="00266FCE">
      <w:pPr>
        <w:pBdr>
          <w:bottom w:val="single" w:sz="6" w:space="1" w:color="2E75B6"/>
        </w:pBdr>
        <w:spacing w:after="120"/>
      </w:pPr>
    </w:p>
    <w:p w14:paraId="7CF10DD4" w14:textId="77777777" w:rsidR="00266FCE" w:rsidRDefault="00000000">
      <w:pPr>
        <w:spacing w:after="120" w:line="276" w:lineRule="auto"/>
        <w:jc w:val="both"/>
      </w:pPr>
      <w:r>
        <w:t>La Segunda Entrega materializa el núcleo funcional del sistema SG-BDP: autenticación MFA, registro de solicitudes, evaluación financiera, motor de scoring, decisión de crédito y consulta de estado. El código desarrollado fue ejecutado y verificado contra el caso de referencia del prototipo, obteniendo resultados consistentes.</w:t>
      </w:r>
    </w:p>
    <w:p w14:paraId="46AC6FD5" w14:textId="77777777" w:rsidR="00266FCE" w:rsidRDefault="00000000">
      <w:pPr>
        <w:spacing w:line="276" w:lineRule="auto"/>
        <w:jc w:val="both"/>
      </w:pPr>
      <w:r>
        <w:t>La guía de usuario acompaña las funcionalidades desarrolladas y la plataforma responsiva queda en fase de revisión. Estos productos cumplen lo comprometido para esta entrega y habilitan la continuación del desarrollo en las entregas siguientes.</w:t>
      </w:r>
    </w:p>
    <w:sectPr w:rsidR="00266FC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1088" w14:textId="77777777" w:rsidR="000E5A92" w:rsidRDefault="000E5A92">
      <w:r>
        <w:separator/>
      </w:r>
    </w:p>
  </w:endnote>
  <w:endnote w:type="continuationSeparator" w:id="0">
    <w:p w14:paraId="7C267440" w14:textId="77777777" w:rsidR="000E5A92" w:rsidRDefault="000E5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724F" w14:textId="77777777" w:rsidR="00266FCE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2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B089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B089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19FB" w14:textId="77777777" w:rsidR="000E5A92" w:rsidRDefault="000E5A92">
      <w:r>
        <w:separator/>
      </w:r>
    </w:p>
  </w:footnote>
  <w:footnote w:type="continuationSeparator" w:id="0">
    <w:p w14:paraId="29BC23F2" w14:textId="77777777" w:rsidR="000E5A92" w:rsidRDefault="000E5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FF90" w14:textId="77777777" w:rsidR="00266FCE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Segunda Entrega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2A56"/>
    <w:multiLevelType w:val="hybridMultilevel"/>
    <w:tmpl w:val="C406C1F0"/>
    <w:lvl w:ilvl="0" w:tplc="A1B4EEF6">
      <w:start w:val="1"/>
      <w:numFmt w:val="decimal"/>
      <w:lvlText w:val="%1."/>
      <w:lvlJc w:val="left"/>
      <w:pPr>
        <w:ind w:left="620" w:hanging="320"/>
      </w:pPr>
    </w:lvl>
    <w:lvl w:ilvl="1" w:tplc="02C0F850">
      <w:numFmt w:val="decimal"/>
      <w:lvlText w:val=""/>
      <w:lvlJc w:val="left"/>
    </w:lvl>
    <w:lvl w:ilvl="2" w:tplc="A2BA4420">
      <w:numFmt w:val="decimal"/>
      <w:lvlText w:val=""/>
      <w:lvlJc w:val="left"/>
    </w:lvl>
    <w:lvl w:ilvl="3" w:tplc="FCE2ED20">
      <w:numFmt w:val="decimal"/>
      <w:lvlText w:val=""/>
      <w:lvlJc w:val="left"/>
    </w:lvl>
    <w:lvl w:ilvl="4" w:tplc="7256E2A6">
      <w:numFmt w:val="decimal"/>
      <w:lvlText w:val=""/>
      <w:lvlJc w:val="left"/>
    </w:lvl>
    <w:lvl w:ilvl="5" w:tplc="9C6452CA">
      <w:numFmt w:val="decimal"/>
      <w:lvlText w:val=""/>
      <w:lvlJc w:val="left"/>
    </w:lvl>
    <w:lvl w:ilvl="6" w:tplc="78584A5C">
      <w:numFmt w:val="decimal"/>
      <w:lvlText w:val=""/>
      <w:lvlJc w:val="left"/>
    </w:lvl>
    <w:lvl w:ilvl="7" w:tplc="1E4C8B54">
      <w:numFmt w:val="decimal"/>
      <w:lvlText w:val=""/>
      <w:lvlJc w:val="left"/>
    </w:lvl>
    <w:lvl w:ilvl="8" w:tplc="8200B01C">
      <w:numFmt w:val="decimal"/>
      <w:lvlText w:val=""/>
      <w:lvlJc w:val="left"/>
    </w:lvl>
  </w:abstractNum>
  <w:abstractNum w:abstractNumId="1" w15:restartNumberingAfterBreak="0">
    <w:nsid w:val="2F5A5090"/>
    <w:multiLevelType w:val="hybridMultilevel"/>
    <w:tmpl w:val="D034110E"/>
    <w:lvl w:ilvl="0" w:tplc="8BACB510">
      <w:start w:val="1"/>
      <w:numFmt w:val="decimal"/>
      <w:lvlText w:val="%1."/>
      <w:lvlJc w:val="left"/>
      <w:pPr>
        <w:ind w:left="620" w:hanging="320"/>
      </w:pPr>
    </w:lvl>
    <w:lvl w:ilvl="1" w:tplc="AB520E3E">
      <w:numFmt w:val="decimal"/>
      <w:lvlText w:val=""/>
      <w:lvlJc w:val="left"/>
    </w:lvl>
    <w:lvl w:ilvl="2" w:tplc="B4D8379C">
      <w:numFmt w:val="decimal"/>
      <w:lvlText w:val=""/>
      <w:lvlJc w:val="left"/>
    </w:lvl>
    <w:lvl w:ilvl="3" w:tplc="EB82997E">
      <w:numFmt w:val="decimal"/>
      <w:lvlText w:val=""/>
      <w:lvlJc w:val="left"/>
    </w:lvl>
    <w:lvl w:ilvl="4" w:tplc="DC704A2C">
      <w:numFmt w:val="decimal"/>
      <w:lvlText w:val=""/>
      <w:lvlJc w:val="left"/>
    </w:lvl>
    <w:lvl w:ilvl="5" w:tplc="0510786C">
      <w:numFmt w:val="decimal"/>
      <w:lvlText w:val=""/>
      <w:lvlJc w:val="left"/>
    </w:lvl>
    <w:lvl w:ilvl="6" w:tplc="3342D1B0">
      <w:numFmt w:val="decimal"/>
      <w:lvlText w:val=""/>
      <w:lvlJc w:val="left"/>
    </w:lvl>
    <w:lvl w:ilvl="7" w:tplc="F9224E90">
      <w:numFmt w:val="decimal"/>
      <w:lvlText w:val=""/>
      <w:lvlJc w:val="left"/>
    </w:lvl>
    <w:lvl w:ilvl="8" w:tplc="6A50E558">
      <w:numFmt w:val="decimal"/>
      <w:lvlText w:val=""/>
      <w:lvlJc w:val="left"/>
    </w:lvl>
  </w:abstractNum>
  <w:abstractNum w:abstractNumId="2" w15:restartNumberingAfterBreak="0">
    <w:nsid w:val="343225D1"/>
    <w:multiLevelType w:val="hybridMultilevel"/>
    <w:tmpl w:val="FDFA2D36"/>
    <w:lvl w:ilvl="0" w:tplc="E5DCA580">
      <w:start w:val="1"/>
      <w:numFmt w:val="decimal"/>
      <w:lvlText w:val="%1."/>
      <w:lvlJc w:val="left"/>
      <w:pPr>
        <w:ind w:left="620" w:hanging="320"/>
      </w:pPr>
    </w:lvl>
    <w:lvl w:ilvl="1" w:tplc="A4DE4868">
      <w:numFmt w:val="decimal"/>
      <w:lvlText w:val=""/>
      <w:lvlJc w:val="left"/>
    </w:lvl>
    <w:lvl w:ilvl="2" w:tplc="1010A618">
      <w:numFmt w:val="decimal"/>
      <w:lvlText w:val=""/>
      <w:lvlJc w:val="left"/>
    </w:lvl>
    <w:lvl w:ilvl="3" w:tplc="875EABEE">
      <w:numFmt w:val="decimal"/>
      <w:lvlText w:val=""/>
      <w:lvlJc w:val="left"/>
    </w:lvl>
    <w:lvl w:ilvl="4" w:tplc="52B43732">
      <w:numFmt w:val="decimal"/>
      <w:lvlText w:val=""/>
      <w:lvlJc w:val="left"/>
    </w:lvl>
    <w:lvl w:ilvl="5" w:tplc="D07467EE">
      <w:numFmt w:val="decimal"/>
      <w:lvlText w:val=""/>
      <w:lvlJc w:val="left"/>
    </w:lvl>
    <w:lvl w:ilvl="6" w:tplc="A3F0AC16">
      <w:numFmt w:val="decimal"/>
      <w:lvlText w:val=""/>
      <w:lvlJc w:val="left"/>
    </w:lvl>
    <w:lvl w:ilvl="7" w:tplc="60F4E93E">
      <w:numFmt w:val="decimal"/>
      <w:lvlText w:val=""/>
      <w:lvlJc w:val="left"/>
    </w:lvl>
    <w:lvl w:ilvl="8" w:tplc="B53E81AC">
      <w:numFmt w:val="decimal"/>
      <w:lvlText w:val=""/>
      <w:lvlJc w:val="left"/>
    </w:lvl>
  </w:abstractNum>
  <w:abstractNum w:abstractNumId="3" w15:restartNumberingAfterBreak="0">
    <w:nsid w:val="4820499E"/>
    <w:multiLevelType w:val="hybridMultilevel"/>
    <w:tmpl w:val="82B8437C"/>
    <w:lvl w:ilvl="0" w:tplc="8140F910">
      <w:start w:val="1"/>
      <w:numFmt w:val="bullet"/>
      <w:lvlText w:val="●"/>
      <w:lvlJc w:val="left"/>
      <w:pPr>
        <w:ind w:left="720" w:hanging="360"/>
      </w:pPr>
    </w:lvl>
    <w:lvl w:ilvl="1" w:tplc="A4AC0E1A">
      <w:start w:val="1"/>
      <w:numFmt w:val="bullet"/>
      <w:lvlText w:val="○"/>
      <w:lvlJc w:val="left"/>
      <w:pPr>
        <w:ind w:left="1440" w:hanging="360"/>
      </w:pPr>
    </w:lvl>
    <w:lvl w:ilvl="2" w:tplc="516030A2">
      <w:start w:val="1"/>
      <w:numFmt w:val="bullet"/>
      <w:lvlText w:val="■"/>
      <w:lvlJc w:val="left"/>
      <w:pPr>
        <w:ind w:left="2160" w:hanging="360"/>
      </w:pPr>
    </w:lvl>
    <w:lvl w:ilvl="3" w:tplc="3F4A828A">
      <w:start w:val="1"/>
      <w:numFmt w:val="bullet"/>
      <w:lvlText w:val="●"/>
      <w:lvlJc w:val="left"/>
      <w:pPr>
        <w:ind w:left="2880" w:hanging="360"/>
      </w:pPr>
    </w:lvl>
    <w:lvl w:ilvl="4" w:tplc="8708A6DA">
      <w:start w:val="1"/>
      <w:numFmt w:val="bullet"/>
      <w:lvlText w:val="○"/>
      <w:lvlJc w:val="left"/>
      <w:pPr>
        <w:ind w:left="3600" w:hanging="360"/>
      </w:pPr>
    </w:lvl>
    <w:lvl w:ilvl="5" w:tplc="A97EBD0A">
      <w:start w:val="1"/>
      <w:numFmt w:val="bullet"/>
      <w:lvlText w:val="■"/>
      <w:lvlJc w:val="left"/>
      <w:pPr>
        <w:ind w:left="4320" w:hanging="360"/>
      </w:pPr>
    </w:lvl>
    <w:lvl w:ilvl="6" w:tplc="BEC069AC">
      <w:start w:val="1"/>
      <w:numFmt w:val="bullet"/>
      <w:lvlText w:val="●"/>
      <w:lvlJc w:val="left"/>
      <w:pPr>
        <w:ind w:left="5040" w:hanging="360"/>
      </w:pPr>
    </w:lvl>
    <w:lvl w:ilvl="7" w:tplc="682824CC">
      <w:start w:val="1"/>
      <w:numFmt w:val="bullet"/>
      <w:lvlText w:val="●"/>
      <w:lvlJc w:val="left"/>
      <w:pPr>
        <w:ind w:left="5760" w:hanging="360"/>
      </w:pPr>
    </w:lvl>
    <w:lvl w:ilvl="8" w:tplc="0F822D4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8C41FC7"/>
    <w:multiLevelType w:val="hybridMultilevel"/>
    <w:tmpl w:val="B358EA08"/>
    <w:lvl w:ilvl="0" w:tplc="DFB6D11A">
      <w:start w:val="1"/>
      <w:numFmt w:val="decimal"/>
      <w:lvlText w:val="%1."/>
      <w:lvlJc w:val="left"/>
      <w:pPr>
        <w:ind w:left="620" w:hanging="320"/>
      </w:pPr>
    </w:lvl>
    <w:lvl w:ilvl="1" w:tplc="70586C16">
      <w:numFmt w:val="decimal"/>
      <w:lvlText w:val=""/>
      <w:lvlJc w:val="left"/>
    </w:lvl>
    <w:lvl w:ilvl="2" w:tplc="EC6EE022">
      <w:numFmt w:val="decimal"/>
      <w:lvlText w:val=""/>
      <w:lvlJc w:val="left"/>
    </w:lvl>
    <w:lvl w:ilvl="3" w:tplc="1B46BE8A">
      <w:numFmt w:val="decimal"/>
      <w:lvlText w:val=""/>
      <w:lvlJc w:val="left"/>
    </w:lvl>
    <w:lvl w:ilvl="4" w:tplc="2D52EAD0">
      <w:numFmt w:val="decimal"/>
      <w:lvlText w:val=""/>
      <w:lvlJc w:val="left"/>
    </w:lvl>
    <w:lvl w:ilvl="5" w:tplc="C0B45606">
      <w:numFmt w:val="decimal"/>
      <w:lvlText w:val=""/>
      <w:lvlJc w:val="left"/>
    </w:lvl>
    <w:lvl w:ilvl="6" w:tplc="BE3EF224">
      <w:numFmt w:val="decimal"/>
      <w:lvlText w:val=""/>
      <w:lvlJc w:val="left"/>
    </w:lvl>
    <w:lvl w:ilvl="7" w:tplc="084C9618">
      <w:numFmt w:val="decimal"/>
      <w:lvlText w:val=""/>
      <w:lvlJc w:val="left"/>
    </w:lvl>
    <w:lvl w:ilvl="8" w:tplc="A508A73C">
      <w:numFmt w:val="decimal"/>
      <w:lvlText w:val=""/>
      <w:lvlJc w:val="left"/>
    </w:lvl>
  </w:abstractNum>
  <w:abstractNum w:abstractNumId="5" w15:restartNumberingAfterBreak="0">
    <w:nsid w:val="5CCC4645"/>
    <w:multiLevelType w:val="hybridMultilevel"/>
    <w:tmpl w:val="EED858DA"/>
    <w:lvl w:ilvl="0" w:tplc="FAF402D6">
      <w:start w:val="1"/>
      <w:numFmt w:val="decimal"/>
      <w:lvlText w:val="%1."/>
      <w:lvlJc w:val="left"/>
      <w:pPr>
        <w:ind w:left="620" w:hanging="320"/>
      </w:pPr>
    </w:lvl>
    <w:lvl w:ilvl="1" w:tplc="0C766608">
      <w:numFmt w:val="decimal"/>
      <w:lvlText w:val=""/>
      <w:lvlJc w:val="left"/>
    </w:lvl>
    <w:lvl w:ilvl="2" w:tplc="CF56A666">
      <w:numFmt w:val="decimal"/>
      <w:lvlText w:val=""/>
      <w:lvlJc w:val="left"/>
    </w:lvl>
    <w:lvl w:ilvl="3" w:tplc="360018A8">
      <w:numFmt w:val="decimal"/>
      <w:lvlText w:val=""/>
      <w:lvlJc w:val="left"/>
    </w:lvl>
    <w:lvl w:ilvl="4" w:tplc="5B740B82">
      <w:numFmt w:val="decimal"/>
      <w:lvlText w:val=""/>
      <w:lvlJc w:val="left"/>
    </w:lvl>
    <w:lvl w:ilvl="5" w:tplc="DF569980">
      <w:numFmt w:val="decimal"/>
      <w:lvlText w:val=""/>
      <w:lvlJc w:val="left"/>
    </w:lvl>
    <w:lvl w:ilvl="6" w:tplc="284AF134">
      <w:numFmt w:val="decimal"/>
      <w:lvlText w:val=""/>
      <w:lvlJc w:val="left"/>
    </w:lvl>
    <w:lvl w:ilvl="7" w:tplc="E8827868">
      <w:numFmt w:val="decimal"/>
      <w:lvlText w:val=""/>
      <w:lvlJc w:val="left"/>
    </w:lvl>
    <w:lvl w:ilvl="8" w:tplc="A6D49AFE">
      <w:numFmt w:val="decimal"/>
      <w:lvlText w:val=""/>
      <w:lvlJc w:val="left"/>
    </w:lvl>
  </w:abstractNum>
  <w:abstractNum w:abstractNumId="6" w15:restartNumberingAfterBreak="0">
    <w:nsid w:val="715527F5"/>
    <w:multiLevelType w:val="hybridMultilevel"/>
    <w:tmpl w:val="1382E04A"/>
    <w:lvl w:ilvl="0" w:tplc="229C000A">
      <w:start w:val="1"/>
      <w:numFmt w:val="bullet"/>
      <w:lvlText w:val="•"/>
      <w:lvlJc w:val="left"/>
      <w:pPr>
        <w:ind w:left="620" w:hanging="320"/>
      </w:pPr>
    </w:lvl>
    <w:lvl w:ilvl="1" w:tplc="C3DC8774">
      <w:numFmt w:val="decimal"/>
      <w:lvlText w:val=""/>
      <w:lvlJc w:val="left"/>
    </w:lvl>
    <w:lvl w:ilvl="2" w:tplc="D9427242">
      <w:numFmt w:val="decimal"/>
      <w:lvlText w:val=""/>
      <w:lvlJc w:val="left"/>
    </w:lvl>
    <w:lvl w:ilvl="3" w:tplc="EDF472F0">
      <w:numFmt w:val="decimal"/>
      <w:lvlText w:val=""/>
      <w:lvlJc w:val="left"/>
    </w:lvl>
    <w:lvl w:ilvl="4" w:tplc="C650A3CA">
      <w:numFmt w:val="decimal"/>
      <w:lvlText w:val=""/>
      <w:lvlJc w:val="left"/>
    </w:lvl>
    <w:lvl w:ilvl="5" w:tplc="1E8AFD46">
      <w:numFmt w:val="decimal"/>
      <w:lvlText w:val=""/>
      <w:lvlJc w:val="left"/>
    </w:lvl>
    <w:lvl w:ilvl="6" w:tplc="0D90D17C">
      <w:numFmt w:val="decimal"/>
      <w:lvlText w:val=""/>
      <w:lvlJc w:val="left"/>
    </w:lvl>
    <w:lvl w:ilvl="7" w:tplc="10E2F708">
      <w:numFmt w:val="decimal"/>
      <w:lvlText w:val=""/>
      <w:lvlJc w:val="left"/>
    </w:lvl>
    <w:lvl w:ilvl="8" w:tplc="93F8FC8C">
      <w:numFmt w:val="decimal"/>
      <w:lvlText w:val=""/>
      <w:lvlJc w:val="left"/>
    </w:lvl>
  </w:abstractNum>
  <w:num w:numId="1" w16cid:durableId="1147863698">
    <w:abstractNumId w:val="3"/>
    <w:lvlOverride w:ilvl="0">
      <w:startOverride w:val="1"/>
    </w:lvlOverride>
  </w:num>
  <w:num w:numId="2" w16cid:durableId="19094244">
    <w:abstractNumId w:val="5"/>
    <w:lvlOverride w:ilvl="0">
      <w:startOverride w:val="1"/>
    </w:lvlOverride>
  </w:num>
  <w:num w:numId="3" w16cid:durableId="1902788608">
    <w:abstractNumId w:val="4"/>
    <w:lvlOverride w:ilvl="0">
      <w:startOverride w:val="1"/>
    </w:lvlOverride>
  </w:num>
  <w:num w:numId="4" w16cid:durableId="277377299">
    <w:abstractNumId w:val="2"/>
    <w:lvlOverride w:ilvl="0">
      <w:startOverride w:val="1"/>
    </w:lvlOverride>
  </w:num>
  <w:num w:numId="5" w16cid:durableId="2101217408">
    <w:abstractNumId w:val="0"/>
    <w:lvlOverride w:ilvl="0">
      <w:startOverride w:val="1"/>
    </w:lvlOverride>
  </w:num>
  <w:num w:numId="6" w16cid:durableId="1832985062">
    <w:abstractNumId w:val="1"/>
    <w:lvlOverride w:ilvl="0">
      <w:startOverride w:val="1"/>
    </w:lvlOverride>
  </w:num>
  <w:num w:numId="7" w16cid:durableId="66115577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CE"/>
    <w:rsid w:val="000E5A92"/>
    <w:rsid w:val="00266FCE"/>
    <w:rsid w:val="00723447"/>
    <w:rsid w:val="008B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9FD7"/>
  <w15:docId w15:val="{C874019E-8F74-47E7-A1E5-DCDF884C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B08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08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1969</Words>
  <Characters>10831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2026-06-13T19:11:00Z</dcterms:created>
  <dcterms:modified xsi:type="dcterms:W3CDTF">2026-06-14T00:45:00Z</dcterms:modified>
</cp:coreProperties>
</file>